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4</w:t>
      </w:r>
      <w:bookmarkStart w:id="0" w:name="_GoBack"/>
      <w:bookmarkEnd w:id="0"/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hint="eastAsia" w:eastAsia="黑体"/>
          <w:bCs/>
          <w:sz w:val="32"/>
          <w:szCs w:val="28"/>
        </w:rPr>
        <w:t>第二届</w:t>
      </w:r>
      <w:r>
        <w:rPr>
          <w:rFonts w:hint="eastAsia" w:eastAsia="黑体"/>
          <w:bCs/>
          <w:sz w:val="32"/>
          <w:szCs w:val="28"/>
          <w:lang w:eastAsia="zh-CN"/>
        </w:rPr>
        <w:t>西安建筑科技大学</w:t>
      </w:r>
      <w:r>
        <w:rPr>
          <w:rFonts w:hint="eastAsia" w:eastAsia="黑体"/>
          <w:bCs/>
          <w:sz w:val="32"/>
          <w:szCs w:val="28"/>
        </w:rPr>
        <w:t>大学生冶金科技竞赛</w:t>
      </w:r>
    </w:p>
    <w:p>
      <w:pPr>
        <w:widowControl/>
        <w:spacing w:after="150"/>
        <w:jc w:val="center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kern w:val="0"/>
          <w:sz w:val="32"/>
          <w:szCs w:val="36"/>
        </w:rPr>
        <w:t>参赛作品</w:t>
      </w:r>
      <w:r>
        <w:rPr>
          <w:rFonts w:hint="eastAsia" w:eastAsia="黑体"/>
          <w:bCs/>
          <w:kern w:val="0"/>
          <w:sz w:val="32"/>
          <w:szCs w:val="32"/>
        </w:rPr>
        <w:t>（</w:t>
      </w:r>
      <w:r>
        <w:rPr>
          <w:rFonts w:hint="eastAsia" w:eastAsia="黑体"/>
          <w:sz w:val="32"/>
          <w:szCs w:val="32"/>
        </w:rPr>
        <w:t>科技创新类）</w:t>
      </w:r>
      <w:r>
        <w:rPr>
          <w:rFonts w:hint="eastAsia" w:eastAsia="黑体"/>
          <w:bCs/>
          <w:sz w:val="32"/>
          <w:szCs w:val="36"/>
        </w:rPr>
        <w:t>说明书格式规范</w:t>
      </w:r>
    </w:p>
    <w:p>
      <w:pPr>
        <w:widowControl/>
        <w:adjustRightInd w:val="0"/>
        <w:snapToGrid w:val="0"/>
        <w:spacing w:before="156" w:beforeLines="50" w:after="120"/>
        <w:ind w:firstLine="482"/>
        <w:jc w:val="left"/>
        <w:rPr>
          <w:b/>
          <w:kern w:val="0"/>
          <w:sz w:val="24"/>
          <w:szCs w:val="24"/>
        </w:rPr>
      </w:pP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hint="eastAsia" w:eastAsia="仿宋_GB2312"/>
          <w:b/>
          <w:sz w:val="24"/>
          <w:szCs w:val="28"/>
        </w:rPr>
        <w:t>．完整的科技创新说明书</w:t>
      </w:r>
    </w:p>
    <w:p>
      <w:pPr>
        <w:widowControl/>
        <w:adjustRightInd w:val="0"/>
        <w:snapToGrid w:val="0"/>
        <w:spacing w:line="480" w:lineRule="exact"/>
        <w:ind w:firstLine="480" w:firstLineChars="200"/>
        <w:jc w:val="left"/>
        <w:rPr>
          <w:rFonts w:eastAsia="仿宋_GB2312"/>
          <w:kern w:val="0"/>
          <w:sz w:val="24"/>
          <w:szCs w:val="24"/>
        </w:rPr>
      </w:pPr>
      <w:r>
        <w:rPr>
          <w:rFonts w:hint="eastAsia" w:eastAsia="仿宋_GB2312"/>
          <w:sz w:val="24"/>
          <w:szCs w:val="28"/>
        </w:rPr>
        <w:t>全文控制</w:t>
      </w: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纸</w:t>
      </w:r>
      <w:r>
        <w:rPr>
          <w:rFonts w:eastAsia="仿宋_GB2312"/>
          <w:sz w:val="24"/>
          <w:szCs w:val="28"/>
        </w:rPr>
        <w:t>8</w:t>
      </w:r>
      <w:r>
        <w:rPr>
          <w:rFonts w:hint="eastAsia" w:eastAsia="仿宋_GB2312"/>
          <w:sz w:val="24"/>
          <w:szCs w:val="28"/>
        </w:rPr>
        <w:t>页以内，并按以下顺序编排：</w:t>
      </w:r>
      <w:r>
        <w:rPr>
          <w:rFonts w:hint="eastAsia" w:eastAsia="仿宋_GB2312"/>
          <w:kern w:val="0"/>
          <w:sz w:val="24"/>
          <w:szCs w:val="24"/>
        </w:rPr>
        <w:t>题目、学院及作者名称</w:t>
      </w:r>
      <w:r>
        <w:rPr>
          <w:rFonts w:eastAsia="仿宋_GB2312"/>
          <w:kern w:val="0"/>
          <w:sz w:val="24"/>
          <w:szCs w:val="24"/>
        </w:rPr>
        <w:t xml:space="preserve"> </w:t>
      </w:r>
      <w:r>
        <w:rPr>
          <w:rFonts w:hint="eastAsia" w:eastAsia="仿宋_GB2312"/>
          <w:kern w:val="0"/>
          <w:sz w:val="24"/>
          <w:szCs w:val="24"/>
        </w:rPr>
        <w:t>、摘要（摘要包括：</w:t>
      </w:r>
      <w:r>
        <w:rPr>
          <w:rFonts w:eastAsia="仿宋_GB2312"/>
          <w:kern w:val="0"/>
          <w:sz w:val="24"/>
          <w:szCs w:val="24"/>
        </w:rPr>
        <w:t xml:space="preserve"> “</w:t>
      </w:r>
      <w:r>
        <w:rPr>
          <w:rFonts w:hint="eastAsia" w:eastAsia="仿宋_GB2312"/>
          <w:kern w:val="0"/>
          <w:sz w:val="24"/>
          <w:szCs w:val="24"/>
        </w:rPr>
        <w:t>摘要</w:t>
      </w:r>
      <w:r>
        <w:rPr>
          <w:rFonts w:eastAsia="仿宋_GB2312"/>
          <w:kern w:val="0"/>
          <w:sz w:val="24"/>
          <w:szCs w:val="24"/>
        </w:rPr>
        <w:t>”</w:t>
      </w:r>
      <w:r>
        <w:rPr>
          <w:rFonts w:hint="eastAsia" w:eastAsia="仿宋_GB2312"/>
          <w:kern w:val="0"/>
          <w:sz w:val="24"/>
          <w:szCs w:val="24"/>
        </w:rPr>
        <w:t>字样、摘要正文、关键词、中图分类号）、正文</w:t>
      </w:r>
      <w:r>
        <w:rPr>
          <w:rFonts w:eastAsia="仿宋_GB2312"/>
          <w:kern w:val="0"/>
          <w:sz w:val="24"/>
          <w:szCs w:val="24"/>
        </w:rPr>
        <w:t xml:space="preserve"> </w:t>
      </w:r>
      <w:r>
        <w:rPr>
          <w:rFonts w:hint="eastAsia" w:eastAsia="仿宋_GB2312"/>
          <w:kern w:val="0"/>
          <w:sz w:val="24"/>
          <w:szCs w:val="24"/>
        </w:rPr>
        <w:t>、结束语</w:t>
      </w:r>
      <w:r>
        <w:rPr>
          <w:rFonts w:eastAsia="仿宋_GB2312"/>
          <w:kern w:val="0"/>
          <w:sz w:val="24"/>
          <w:szCs w:val="24"/>
        </w:rPr>
        <w:t xml:space="preserve"> </w:t>
      </w:r>
      <w:r>
        <w:rPr>
          <w:rFonts w:hint="eastAsia" w:eastAsia="仿宋_GB2312"/>
          <w:kern w:val="0"/>
          <w:sz w:val="24"/>
          <w:szCs w:val="24"/>
        </w:rPr>
        <w:t>、谢辞、参考文献、附录等。</w:t>
      </w:r>
      <w:r>
        <w:rPr>
          <w:rFonts w:hint="eastAsia" w:eastAsia="仿宋_GB2312"/>
          <w:sz w:val="24"/>
          <w:szCs w:val="28"/>
        </w:rPr>
        <w:t>采用</w:t>
      </w:r>
      <w:r>
        <w:rPr>
          <w:rFonts w:eastAsia="仿宋_GB2312"/>
          <w:sz w:val="24"/>
          <w:szCs w:val="28"/>
        </w:rPr>
        <w:t>word 2003</w:t>
      </w:r>
      <w:r>
        <w:rPr>
          <w:rFonts w:hint="eastAsia" w:eastAsia="仿宋_GB2312"/>
          <w:sz w:val="24"/>
          <w:szCs w:val="28"/>
        </w:rPr>
        <w:t>及以上版本编排。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hint="eastAsia" w:eastAsia="仿宋_GB2312"/>
          <w:b/>
          <w:sz w:val="24"/>
          <w:szCs w:val="28"/>
        </w:rPr>
        <w:t>．页面要求</w:t>
      </w:r>
    </w:p>
    <w:p>
      <w:pPr>
        <w:widowControl/>
        <w:adjustRightInd w:val="0"/>
        <w:snapToGrid w:val="0"/>
        <w:spacing w:line="480" w:lineRule="exact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A4</w:t>
      </w:r>
      <w:r>
        <w:rPr>
          <w:rFonts w:hint="eastAsia" w:eastAsia="仿宋_GB2312"/>
          <w:kern w:val="0"/>
          <w:sz w:val="24"/>
          <w:szCs w:val="24"/>
        </w:rPr>
        <w:t>页面。页边距：上</w:t>
      </w:r>
      <w:r>
        <w:rPr>
          <w:rFonts w:eastAsia="仿宋_GB2312"/>
          <w:kern w:val="0"/>
          <w:sz w:val="24"/>
          <w:szCs w:val="24"/>
        </w:rPr>
        <w:t>25mm</w:t>
      </w:r>
      <w:r>
        <w:rPr>
          <w:rFonts w:hint="eastAsia" w:eastAsia="仿宋_GB2312"/>
          <w:kern w:val="0"/>
          <w:sz w:val="24"/>
          <w:szCs w:val="24"/>
        </w:rPr>
        <w:t>，下</w:t>
      </w:r>
      <w:r>
        <w:rPr>
          <w:rFonts w:eastAsia="仿宋_GB2312"/>
          <w:kern w:val="0"/>
          <w:sz w:val="24"/>
          <w:szCs w:val="24"/>
        </w:rPr>
        <w:t>25mm</w:t>
      </w:r>
      <w:r>
        <w:rPr>
          <w:rFonts w:hint="eastAsia" w:eastAsia="仿宋_GB2312"/>
          <w:kern w:val="0"/>
          <w:sz w:val="24"/>
          <w:szCs w:val="24"/>
        </w:rPr>
        <w:t>，左、右各</w:t>
      </w:r>
      <w:r>
        <w:rPr>
          <w:rFonts w:eastAsia="仿宋_GB2312"/>
          <w:kern w:val="0"/>
          <w:sz w:val="24"/>
          <w:szCs w:val="24"/>
        </w:rPr>
        <w:t>20mm</w:t>
      </w:r>
      <w:r>
        <w:rPr>
          <w:rFonts w:hint="eastAsia" w:eastAsia="仿宋_GB2312"/>
          <w:kern w:val="0"/>
          <w:sz w:val="24"/>
          <w:szCs w:val="24"/>
        </w:rPr>
        <w:t>。正文采用小四号宋体字体，标准字间距，单倍行间距。不要设置页眉，页码位于页面底部居中。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hint="eastAsia" w:eastAsia="仿宋_GB2312"/>
          <w:b/>
          <w:sz w:val="24"/>
          <w:szCs w:val="28"/>
        </w:rPr>
        <w:t>．图表要求</w:t>
      </w:r>
    </w:p>
    <w:p>
      <w:pPr>
        <w:widowControl/>
        <w:adjustRightInd w:val="0"/>
        <w:snapToGrid w:val="0"/>
        <w:spacing w:line="480" w:lineRule="exact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hint="eastAsia" w:eastAsia="仿宋_GB2312"/>
          <w:kern w:val="0"/>
          <w:sz w:val="24"/>
          <w:szCs w:val="24"/>
        </w:rPr>
        <w:t>插图按序编号，并加图名（位于图下方），采用嵌入型版式。图中文字用小五号宋体，符号用小五号</w:t>
      </w:r>
      <w:r>
        <w:rPr>
          <w:rFonts w:eastAsia="仿宋_GB2312"/>
          <w:kern w:val="0"/>
          <w:sz w:val="24"/>
          <w:szCs w:val="24"/>
        </w:rPr>
        <w:t>Times New Roman</w:t>
      </w:r>
      <w:r>
        <w:rPr>
          <w:rFonts w:hint="eastAsia" w:eastAsia="仿宋_GB2312"/>
          <w:kern w:val="0"/>
          <w:sz w:val="24"/>
          <w:szCs w:val="24"/>
        </w:rPr>
        <w:t>（矢量、矩阵用黑斜体）；坐标图的横纵坐标应标注对应量的名称和符号</w:t>
      </w:r>
      <w:r>
        <w:rPr>
          <w:rFonts w:eastAsia="仿宋_GB2312"/>
          <w:kern w:val="0"/>
          <w:sz w:val="24"/>
          <w:szCs w:val="24"/>
        </w:rPr>
        <w:t>/</w:t>
      </w:r>
      <w:r>
        <w:rPr>
          <w:rFonts w:hint="eastAsia" w:eastAsia="仿宋_GB2312"/>
          <w:kern w:val="0"/>
          <w:sz w:val="24"/>
          <w:szCs w:val="24"/>
        </w:rPr>
        <w:t>单位。</w:t>
      </w:r>
    </w:p>
    <w:p>
      <w:pPr>
        <w:widowControl/>
        <w:adjustRightInd w:val="0"/>
        <w:snapToGrid w:val="0"/>
        <w:spacing w:line="480" w:lineRule="exact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hint="eastAsia" w:eastAsia="仿宋_GB2312"/>
          <w:kern w:val="0"/>
          <w:sz w:val="24"/>
          <w:szCs w:val="24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hint="eastAsia" w:eastAsia="仿宋_GB2312"/>
          <w:b/>
          <w:sz w:val="24"/>
          <w:szCs w:val="28"/>
        </w:rPr>
        <w:t>．字号、字体要求参考</w:t>
      </w:r>
      <w:r>
        <w:rPr>
          <w:rFonts w:eastAsia="仿宋_GB2312"/>
          <w:b/>
          <w:sz w:val="24"/>
          <w:szCs w:val="28"/>
        </w:rPr>
        <w:t>“</w:t>
      </w:r>
      <w:r>
        <w:rPr>
          <w:rFonts w:hint="eastAsia" w:eastAsia="仿宋_GB2312"/>
          <w:b/>
          <w:sz w:val="24"/>
          <w:szCs w:val="28"/>
        </w:rPr>
        <w:t>创意设计类说明书格式</w:t>
      </w:r>
      <w:r>
        <w:rPr>
          <w:rFonts w:eastAsia="仿宋_GB2312"/>
          <w:b/>
          <w:sz w:val="24"/>
          <w:szCs w:val="28"/>
        </w:rPr>
        <w:t>”</w:t>
      </w:r>
      <w:r>
        <w:rPr>
          <w:rFonts w:hint="eastAsia" w:eastAsia="仿宋_GB2312"/>
          <w:b/>
          <w:sz w:val="24"/>
          <w:szCs w:val="28"/>
        </w:rPr>
        <w:t>的填写说明。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pacing w:before="156" w:beforeLines="50" w:after="156" w:afterLines="50"/>
        <w:jc w:val="center"/>
        <w:rPr>
          <w:sz w:val="24"/>
          <w:szCs w:val="24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  <w:szCs w:val="32"/>
        </w:rPr>
      </w:pPr>
      <w:r>
        <w:rPr>
          <w:sz w:val="24"/>
          <w:szCs w:val="24"/>
        </w:rPr>
        <w:t>×××</w:t>
      </w:r>
      <w:r>
        <w:rPr>
          <w:rFonts w:hint="eastAsia" w:eastAsia="黑体"/>
          <w:bCs/>
          <w:sz w:val="32"/>
        </w:rPr>
        <w:t>作品说明书（黑体三号居中）</w:t>
      </w:r>
      <w:r>
        <w:rPr>
          <w:rFonts w:eastAsia="黑体"/>
          <w:bCs/>
          <w:sz w:val="32"/>
          <w:szCs w:val="32"/>
        </w:rPr>
        <w:t xml:space="preserve"> 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设计者：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（宋体小四居中）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指导教师：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（宋体小四居中）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（XX大学，</w:t>
      </w:r>
      <w:r>
        <w:rPr>
          <w:sz w:val="24"/>
        </w:rPr>
        <w:t>XX</w:t>
      </w:r>
      <w:r>
        <w:rPr>
          <w:rFonts w:hint="eastAsia"/>
          <w:sz w:val="24"/>
          <w:szCs w:val="24"/>
        </w:rPr>
        <w:t>学院，XX</w:t>
      </w:r>
      <w:r>
        <w:rPr>
          <w:sz w:val="24"/>
          <w:szCs w:val="24"/>
        </w:rPr>
        <w:t xml:space="preserve">专业 </w:t>
      </w:r>
      <w:r>
        <w:rPr>
          <w:rFonts w:hint="eastAsia"/>
          <w:sz w:val="24"/>
          <w:szCs w:val="24"/>
        </w:rPr>
        <w:t>）（宋体小四居中）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（空一行）</w:t>
      </w:r>
    </w:p>
    <w:p>
      <w:pPr>
        <w:rPr>
          <w:rFonts w:eastAsia="黑体"/>
          <w:bCs/>
          <w:sz w:val="24"/>
          <w:szCs w:val="24"/>
        </w:rPr>
      </w:pPr>
      <w:r>
        <w:rPr>
          <w:rFonts w:hint="eastAsia" w:eastAsia="黑体"/>
          <w:bCs/>
          <w:sz w:val="24"/>
        </w:rPr>
        <w:t>摘要（黑体小四）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钢渣是炼钢过程中产生的主要副产物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400</w:t>
      </w:r>
      <w:r>
        <w:rPr>
          <w:rFonts w:hint="eastAsia"/>
          <w:sz w:val="24"/>
          <w:szCs w:val="24"/>
        </w:rPr>
        <w:t>字以内）。（宋体小四）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（空一行）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hint="eastAsia" w:eastAsia="黑体"/>
          <w:bCs/>
          <w:sz w:val="24"/>
        </w:rPr>
        <w:t>引言（黑体小四）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正文</w:t>
      </w:r>
      <w:r>
        <w:rPr>
          <w:rFonts w:hint="eastAsia"/>
          <w:sz w:val="24"/>
          <w:szCs w:val="24"/>
        </w:rPr>
        <w:t>（宋体小四）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2 </w:t>
      </w:r>
      <w:r>
        <w:rPr>
          <w:rFonts w:hint="eastAsia" w:eastAsia="黑体"/>
          <w:bCs/>
          <w:sz w:val="24"/>
        </w:rPr>
        <w:t>实验方案（黑体小四）</w:t>
      </w:r>
    </w:p>
    <w:p>
      <w:pPr>
        <w:widowControl/>
        <w:spacing w:after="156" w:afterLines="50"/>
        <w:jc w:val="left"/>
        <w:rPr>
          <w:rFonts w:eastAsia="黑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 xml:space="preserve">2.1 </w:t>
      </w:r>
      <w:r>
        <w:rPr>
          <w:rFonts w:hint="eastAsia" w:eastAsia="黑体"/>
          <w:sz w:val="24"/>
          <w:szCs w:val="24"/>
        </w:rPr>
        <w:t>实验原料</w:t>
      </w:r>
      <w:r>
        <w:rPr>
          <w:rFonts w:hint="eastAsia" w:eastAsia="黑体"/>
          <w:bCs/>
          <w:sz w:val="24"/>
        </w:rPr>
        <w:t>（黑体小四）</w:t>
      </w:r>
    </w:p>
    <w:p>
      <w:pPr>
        <w:spacing w:after="156" w:afterLines="50"/>
        <w:rPr>
          <w:sz w:val="24"/>
          <w:szCs w:val="24"/>
        </w:rPr>
      </w:pPr>
      <w:r>
        <w:rPr>
          <w:rFonts w:eastAsia="黑体"/>
          <w:sz w:val="24"/>
          <w:szCs w:val="24"/>
        </w:rPr>
        <w:t xml:space="preserve">2.2 </w:t>
      </w:r>
      <w:r>
        <w:rPr>
          <w:rFonts w:hint="eastAsia" w:eastAsia="黑体"/>
          <w:sz w:val="24"/>
          <w:szCs w:val="24"/>
        </w:rPr>
        <w:t>实验方法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hint="eastAsia" w:eastAsia="黑体"/>
          <w:bCs/>
          <w:sz w:val="24"/>
        </w:rPr>
        <w:t>实验结果与讨论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……</w:t>
      </w:r>
    </w:p>
    <w:p>
      <w:pPr>
        <w:jc w:val="center"/>
        <w:rPr>
          <w:bCs/>
        </w:rPr>
      </w:pPr>
      <w:r>
        <w:rPr>
          <w:bCs/>
        </w:rPr>
        <w:t xml:space="preserve">图1 </w:t>
      </w:r>
      <w:r>
        <w:rPr>
          <w:rFonts w:hint="eastAsia"/>
          <w:bCs/>
        </w:rPr>
        <w:t>……（宋体5号居中）</w:t>
      </w:r>
    </w:p>
    <w:p>
      <w:pPr>
        <w:rPr>
          <w:bCs/>
          <w:sz w:val="24"/>
          <w:szCs w:val="24"/>
        </w:rPr>
      </w:pPr>
    </w:p>
    <w:p>
      <w:pPr>
        <w:spacing w:before="156" w:beforeLines="50" w:after="156" w:afterLines="50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hint="eastAsia" w:eastAsia="黑体"/>
          <w:bCs/>
          <w:sz w:val="24"/>
        </w:rPr>
        <w:t>结论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）</w:t>
      </w:r>
      <w:r>
        <w:rPr>
          <w:bCs/>
          <w:sz w:val="24"/>
          <w:szCs w:val="24"/>
        </w:rPr>
        <w:t>……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）</w:t>
      </w:r>
      <w:r>
        <w:rPr>
          <w:bCs/>
          <w:sz w:val="24"/>
          <w:szCs w:val="24"/>
        </w:rPr>
        <w:t>……</w:t>
      </w:r>
    </w:p>
    <w:p>
      <w:pPr>
        <w:spacing w:before="156" w:beforeLines="50" w:after="156" w:afterLines="50"/>
        <w:rPr>
          <w:rFonts w:eastAsia="黑体"/>
          <w:sz w:val="24"/>
        </w:rPr>
      </w:pPr>
      <w:r>
        <w:rPr>
          <w:rFonts w:eastAsia="黑体"/>
          <w:sz w:val="24"/>
        </w:rPr>
        <w:t>5 致谢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正文中表示物理量的符号，表示点、线、面的字母均用</w:t>
      </w:r>
      <w:r>
        <w:rPr>
          <w:sz w:val="24"/>
        </w:rPr>
        <w:t>Times New Roman</w:t>
      </w:r>
      <w:r>
        <w:rPr>
          <w:rFonts w:hint="eastAsia"/>
          <w:sz w:val="24"/>
        </w:rPr>
        <w:t>斜体；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表示法定计量单位、词头的符号、函数等，化学元素符号均用</w:t>
      </w:r>
      <w:r>
        <w:rPr>
          <w:sz w:val="24"/>
        </w:rPr>
        <w:t>Times New Roman</w:t>
      </w:r>
      <w:r>
        <w:rPr>
          <w:rFonts w:hint="eastAsia"/>
          <w:sz w:val="24"/>
        </w:rPr>
        <w:t>正体。</w:t>
      </w:r>
    </w:p>
    <w:p>
      <w:pPr>
        <w:ind w:firstLine="480" w:firstLineChars="2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（空一行）</w:t>
      </w:r>
    </w:p>
    <w:p>
      <w:pPr>
        <w:jc w:val="center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  <w:szCs w:val="24"/>
        </w:rPr>
        <w:t>参考文献</w:t>
      </w:r>
      <w:r>
        <w:rPr>
          <w:rFonts w:hint="eastAsia" w:eastAsia="黑体"/>
          <w:bCs/>
          <w:sz w:val="24"/>
        </w:rPr>
        <w:t>（黑体小四居中）</w:t>
      </w:r>
    </w:p>
    <w:p>
      <w:pPr>
        <w:jc w:val="center"/>
        <w:rPr>
          <w:rFonts w:eastAsia="黑体"/>
          <w:bCs/>
          <w:sz w:val="24"/>
          <w:szCs w:val="24"/>
        </w:rPr>
      </w:pP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</w:rPr>
        <w:t>．冶炼设备</w:t>
      </w:r>
      <w:r>
        <w:rPr>
          <w:rFonts w:hint="eastAsia"/>
          <w:sz w:val="24"/>
          <w:szCs w:val="24"/>
        </w:rPr>
        <w:t>现状和发展</w:t>
      </w:r>
      <w:r>
        <w:rPr>
          <w:rFonts w:hint="eastAsia"/>
          <w:sz w:val="24"/>
        </w:rPr>
        <w:t>．钢铁，</w:t>
      </w:r>
      <w:r>
        <w:rPr>
          <w:sz w:val="24"/>
        </w:rPr>
        <w:t>2017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</w:rPr>
        <w:t>现代冶金学．</w:t>
      </w:r>
      <w:r>
        <w:rPr>
          <w:sz w:val="24"/>
          <w:szCs w:val="24"/>
        </w:rPr>
        <w:t>xxxxxx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15-47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xxxx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译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钢冶金学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11-67</w:t>
      </w:r>
    </w:p>
    <w:p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Lee H Y, Reinholtz C F. Inverse kinematics of serial-chain manipulators[J]. ASME Journal of Mechanical Design. 1996, 118(3): 396-404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A2"/>
    <w:rsid w:val="00165C1C"/>
    <w:rsid w:val="00246AA2"/>
    <w:rsid w:val="00F363CD"/>
    <w:rsid w:val="33917B72"/>
    <w:rsid w:val="339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155</Words>
  <Characters>885</Characters>
  <Lines>7</Lines>
  <Paragraphs>2</Paragraphs>
  <TotalTime>0</TotalTime>
  <ScaleCrop>false</ScaleCrop>
  <LinksUpToDate>false</LinksUpToDate>
  <CharactersWithSpaces>1038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2019-03-30T01:50:00Z</dcterms:created>
  <dc:creator>Administrator</dc:creator>
  <cp:lastModifiedBy>Rice-rain  （up）</cp:lastModifiedBy>
  <dcterms:modified xsi:type="dcterms:W3CDTF">2019-04-11T06:45:21Z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