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74" w:lineRule="exact"/>
        <w:jc w:val="center"/>
        <w:rPr>
          <w:rFonts w:hint="eastAsia" w:ascii="方正小标宋简体" w:hAnsi="宋体" w:eastAsia="方正小标宋简体" w:cs="仿宋_GB2312"/>
          <w:bCs/>
          <w:color w:val="auto"/>
          <w:sz w:val="44"/>
          <w:szCs w:val="44"/>
        </w:rPr>
      </w:pPr>
      <w:bookmarkStart w:id="0" w:name="_GoBack"/>
      <w:r>
        <w:rPr>
          <w:rFonts w:hint="eastAsia" w:ascii="方正小标宋简体" w:hAnsi="宋体" w:eastAsia="方正小标宋简体" w:cs="仿宋_GB2312"/>
          <w:bCs/>
          <w:color w:val="auto"/>
          <w:sz w:val="44"/>
          <w:szCs w:val="44"/>
        </w:rPr>
        <w:t>下学期课表编排时间节点及注意事项</w:t>
      </w:r>
    </w:p>
    <w:bookmarkEnd w:id="0"/>
    <w:p>
      <w:pPr>
        <w:adjustRightInd w:val="0"/>
        <w:snapToGrid w:val="0"/>
        <w:spacing w:line="574" w:lineRule="exact"/>
        <w:ind w:firstLine="642"/>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一、课表编排时间节点</w:t>
      </w:r>
    </w:p>
    <w:tbl>
      <w:tblPr>
        <w:tblStyle w:val="5"/>
        <w:tblW w:w="0" w:type="auto"/>
        <w:jc w:val="center"/>
        <w:tblLayout w:type="fixed"/>
        <w:tblCellMar>
          <w:top w:w="15" w:type="dxa"/>
          <w:left w:w="15" w:type="dxa"/>
          <w:bottom w:w="15" w:type="dxa"/>
          <w:right w:w="15" w:type="dxa"/>
        </w:tblCellMar>
      </w:tblPr>
      <w:tblGrid>
        <w:gridCol w:w="653"/>
        <w:gridCol w:w="4320"/>
        <w:gridCol w:w="4123"/>
      </w:tblGrid>
      <w:tr>
        <w:tblPrEx>
          <w:tblCellMar>
            <w:top w:w="15" w:type="dxa"/>
            <w:left w:w="15" w:type="dxa"/>
            <w:bottom w:w="15" w:type="dxa"/>
            <w:right w:w="15" w:type="dxa"/>
          </w:tblCellMar>
        </w:tblPrEx>
        <w:trPr>
          <w:trHeight w:val="285" w:hRule="atLeast"/>
          <w:jc w:val="center"/>
        </w:trPr>
        <w:tc>
          <w:tcPr>
            <w:tcW w:w="653" w:type="dxa"/>
            <w:tcBorders>
              <w:top w:val="single" w:color="000000" w:sz="12" w:space="0"/>
              <w:left w:val="single" w:color="000000" w:sz="12" w:space="0"/>
              <w:bottom w:val="single" w:color="000000" w:sz="12" w:space="0"/>
              <w:right w:val="single" w:color="000000" w:sz="8" w:space="0"/>
            </w:tcBorders>
            <w:noWrap w:val="0"/>
            <w:vAlign w:val="center"/>
          </w:tcPr>
          <w:p>
            <w:pPr>
              <w:widowControl/>
              <w:adjustRightInd w:val="0"/>
              <w:snapToGrid w:val="0"/>
              <w:spacing w:line="574" w:lineRule="exact"/>
              <w:jc w:val="center"/>
              <w:textAlignment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lang w:bidi="ar"/>
              </w:rPr>
              <w:t>序号</w:t>
            </w:r>
          </w:p>
        </w:tc>
        <w:tc>
          <w:tcPr>
            <w:tcW w:w="4320" w:type="dxa"/>
            <w:tcBorders>
              <w:top w:val="single" w:color="000000" w:sz="12" w:space="0"/>
              <w:left w:val="single" w:color="000000" w:sz="8" w:space="0"/>
              <w:bottom w:val="single" w:color="000000" w:sz="12" w:space="0"/>
              <w:right w:val="single" w:color="000000" w:sz="8" w:space="0"/>
            </w:tcBorders>
            <w:noWrap w:val="0"/>
            <w:vAlign w:val="center"/>
          </w:tcPr>
          <w:p>
            <w:pPr>
              <w:widowControl/>
              <w:adjustRightInd w:val="0"/>
              <w:snapToGrid w:val="0"/>
              <w:spacing w:line="574" w:lineRule="exact"/>
              <w:jc w:val="center"/>
              <w:textAlignment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lang w:bidi="ar"/>
              </w:rPr>
              <w:t>学院工作内容</w:t>
            </w:r>
          </w:p>
        </w:tc>
        <w:tc>
          <w:tcPr>
            <w:tcW w:w="4123" w:type="dxa"/>
            <w:tcBorders>
              <w:top w:val="single" w:color="000000" w:sz="12" w:space="0"/>
              <w:left w:val="single" w:color="000000" w:sz="8" w:space="0"/>
              <w:bottom w:val="single" w:color="000000" w:sz="12" w:space="0"/>
              <w:right w:val="single" w:color="000000" w:sz="12" w:space="0"/>
            </w:tcBorders>
            <w:noWrap w:val="0"/>
            <w:vAlign w:val="center"/>
          </w:tcPr>
          <w:p>
            <w:pPr>
              <w:widowControl/>
              <w:adjustRightInd w:val="0"/>
              <w:snapToGrid w:val="0"/>
              <w:spacing w:line="574" w:lineRule="exact"/>
              <w:jc w:val="center"/>
              <w:textAlignment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lang w:bidi="ar"/>
              </w:rPr>
              <w:t>时间节点</w:t>
            </w:r>
          </w:p>
        </w:tc>
      </w:tr>
      <w:tr>
        <w:tblPrEx>
          <w:tblCellMar>
            <w:top w:w="15" w:type="dxa"/>
            <w:left w:w="15" w:type="dxa"/>
            <w:bottom w:w="15" w:type="dxa"/>
            <w:right w:w="15" w:type="dxa"/>
          </w:tblCellMar>
        </w:tblPrEx>
        <w:trPr>
          <w:trHeight w:val="285" w:hRule="atLeast"/>
          <w:jc w:val="center"/>
        </w:trPr>
        <w:tc>
          <w:tcPr>
            <w:tcW w:w="653" w:type="dxa"/>
            <w:tcBorders>
              <w:top w:val="single" w:color="000000" w:sz="12" w:space="0"/>
              <w:left w:val="single" w:color="000000" w:sz="12" w:space="0"/>
              <w:bottom w:val="single" w:color="000000" w:sz="8" w:space="0"/>
              <w:right w:val="single" w:color="000000" w:sz="8" w:space="0"/>
            </w:tcBorders>
            <w:noWrap w:val="0"/>
            <w:vAlign w:val="center"/>
          </w:tcPr>
          <w:p>
            <w:pPr>
              <w:widowControl/>
              <w:adjustRightInd w:val="0"/>
              <w:snapToGrid w:val="0"/>
              <w:spacing w:line="44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4320" w:type="dxa"/>
            <w:tcBorders>
              <w:top w:val="single" w:color="000000" w:sz="12" w:space="0"/>
              <w:left w:val="single" w:color="000000" w:sz="8" w:space="0"/>
              <w:bottom w:val="single" w:color="000000" w:sz="8" w:space="0"/>
              <w:right w:val="single" w:color="000000" w:sz="8" w:space="0"/>
            </w:tcBorders>
            <w:noWrap w:val="0"/>
            <w:vAlign w:val="center"/>
          </w:tcPr>
          <w:p>
            <w:pPr>
              <w:widowControl/>
              <w:adjustRightInd w:val="0"/>
              <w:snapToGrid w:val="0"/>
              <w:spacing w:line="44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eastAsia="zh-CN" w:bidi="ar"/>
              </w:rPr>
              <w:t>学校通识核心</w:t>
            </w:r>
            <w:r>
              <w:rPr>
                <w:rFonts w:hint="eastAsia" w:ascii="仿宋_GB2312" w:hAnsi="仿宋_GB2312" w:eastAsia="仿宋_GB2312" w:cs="仿宋_GB2312"/>
                <w:color w:val="auto"/>
                <w:kern w:val="0"/>
                <w:sz w:val="28"/>
                <w:szCs w:val="28"/>
                <w:lang w:bidi="ar"/>
              </w:rPr>
              <w:t>挂牌课课表编排</w:t>
            </w:r>
          </w:p>
        </w:tc>
        <w:tc>
          <w:tcPr>
            <w:tcW w:w="4123" w:type="dxa"/>
            <w:tcBorders>
              <w:top w:val="single" w:color="000000" w:sz="12" w:space="0"/>
              <w:left w:val="single" w:color="000000" w:sz="8" w:space="0"/>
              <w:bottom w:val="single" w:color="000000" w:sz="8" w:space="0"/>
              <w:right w:val="single" w:color="000000" w:sz="12" w:space="0"/>
            </w:tcBorders>
            <w:noWrap w:val="0"/>
            <w:vAlign w:val="center"/>
          </w:tcPr>
          <w:p>
            <w:pPr>
              <w:widowControl/>
              <w:adjustRightInd w:val="0"/>
              <w:snapToGrid w:val="0"/>
              <w:spacing w:line="440" w:lineRule="exact"/>
              <w:ind w:firstLine="218" w:firstLineChars="78"/>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12月</w:t>
            </w:r>
            <w:r>
              <w:rPr>
                <w:rFonts w:hint="eastAsia" w:ascii="仿宋_GB2312" w:hAnsi="仿宋_GB2312" w:eastAsia="仿宋_GB2312" w:cs="仿宋_GB2312"/>
                <w:color w:val="auto"/>
                <w:kern w:val="0"/>
                <w:sz w:val="28"/>
                <w:szCs w:val="28"/>
                <w:lang w:val="en-US" w:eastAsia="zh-CN" w:bidi="ar"/>
              </w:rPr>
              <w:t>10</w:t>
            </w:r>
            <w:r>
              <w:rPr>
                <w:rFonts w:hint="eastAsia" w:ascii="仿宋_GB2312" w:hAnsi="仿宋_GB2312" w:eastAsia="仿宋_GB2312" w:cs="仿宋_GB2312"/>
                <w:color w:val="auto"/>
                <w:kern w:val="0"/>
                <w:sz w:val="28"/>
                <w:szCs w:val="28"/>
                <w:lang w:bidi="ar"/>
              </w:rPr>
              <w:t>日（第1</w:t>
            </w:r>
            <w:r>
              <w:rPr>
                <w:rFonts w:hint="eastAsia" w:ascii="仿宋_GB2312" w:hAnsi="仿宋_GB2312" w:eastAsia="仿宋_GB2312" w:cs="仿宋_GB2312"/>
                <w:color w:val="auto"/>
                <w:kern w:val="0"/>
                <w:sz w:val="28"/>
                <w:szCs w:val="28"/>
                <w:lang w:val="en-US" w:eastAsia="zh-CN" w:bidi="ar"/>
              </w:rPr>
              <w:t>5</w:t>
            </w:r>
            <w:r>
              <w:rPr>
                <w:rFonts w:hint="eastAsia" w:ascii="仿宋_GB2312" w:hAnsi="仿宋_GB2312" w:eastAsia="仿宋_GB2312" w:cs="仿宋_GB2312"/>
                <w:color w:val="auto"/>
                <w:kern w:val="0"/>
                <w:sz w:val="28"/>
                <w:szCs w:val="28"/>
                <w:lang w:bidi="ar"/>
              </w:rPr>
              <w:t>周周</w:t>
            </w:r>
            <w:r>
              <w:rPr>
                <w:rFonts w:hint="eastAsia" w:ascii="仿宋_GB2312" w:hAnsi="仿宋_GB2312" w:eastAsia="仿宋_GB2312" w:cs="仿宋_GB2312"/>
                <w:color w:val="auto"/>
                <w:kern w:val="0"/>
                <w:sz w:val="28"/>
                <w:szCs w:val="28"/>
                <w:lang w:eastAsia="zh-CN" w:bidi="ar"/>
              </w:rPr>
              <w:t>五</w:t>
            </w:r>
            <w:r>
              <w:rPr>
                <w:rFonts w:hint="eastAsia" w:ascii="仿宋_GB2312" w:hAnsi="仿宋_GB2312" w:eastAsia="仿宋_GB2312" w:cs="仿宋_GB2312"/>
                <w:color w:val="auto"/>
                <w:kern w:val="0"/>
                <w:sz w:val="28"/>
                <w:szCs w:val="28"/>
                <w:lang w:bidi="ar"/>
              </w:rPr>
              <w:t>）前</w:t>
            </w:r>
          </w:p>
        </w:tc>
      </w:tr>
      <w:tr>
        <w:tblPrEx>
          <w:tblCellMar>
            <w:top w:w="15" w:type="dxa"/>
            <w:left w:w="15" w:type="dxa"/>
            <w:bottom w:w="15" w:type="dxa"/>
            <w:right w:w="15" w:type="dxa"/>
          </w:tblCellMar>
        </w:tblPrEx>
        <w:trPr>
          <w:trHeight w:val="807" w:hRule="atLeast"/>
          <w:jc w:val="center"/>
        </w:trPr>
        <w:tc>
          <w:tcPr>
            <w:tcW w:w="653" w:type="dxa"/>
            <w:tcBorders>
              <w:top w:val="single" w:color="000000" w:sz="8" w:space="0"/>
              <w:left w:val="single" w:color="000000" w:sz="12" w:space="0"/>
              <w:right w:val="single" w:color="000000" w:sz="8" w:space="0"/>
            </w:tcBorders>
            <w:noWrap w:val="0"/>
            <w:vAlign w:val="center"/>
          </w:tcPr>
          <w:p>
            <w:pPr>
              <w:widowControl/>
              <w:adjustRightInd w:val="0"/>
              <w:snapToGrid w:val="0"/>
              <w:spacing w:line="44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w:t>
            </w:r>
          </w:p>
        </w:tc>
        <w:tc>
          <w:tcPr>
            <w:tcW w:w="4320" w:type="dxa"/>
            <w:tcBorders>
              <w:top w:val="single" w:color="000000" w:sz="8" w:space="0"/>
              <w:left w:val="single" w:color="000000" w:sz="8" w:space="0"/>
              <w:right w:val="single" w:color="000000" w:sz="8" w:space="0"/>
            </w:tcBorders>
            <w:noWrap w:val="0"/>
            <w:vAlign w:val="center"/>
          </w:tcPr>
          <w:p>
            <w:pPr>
              <w:widowControl/>
              <w:adjustRightInd w:val="0"/>
              <w:snapToGrid w:val="0"/>
              <w:spacing w:line="44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专业课程、辅修课程课表编排</w:t>
            </w:r>
          </w:p>
        </w:tc>
        <w:tc>
          <w:tcPr>
            <w:tcW w:w="4123" w:type="dxa"/>
            <w:tcBorders>
              <w:top w:val="single" w:color="000000" w:sz="8" w:space="0"/>
              <w:left w:val="single" w:color="000000" w:sz="8" w:space="0"/>
              <w:right w:val="single" w:color="000000" w:sz="12" w:space="0"/>
            </w:tcBorders>
            <w:noWrap w:val="0"/>
            <w:vAlign w:val="center"/>
          </w:tcPr>
          <w:p>
            <w:pPr>
              <w:widowControl/>
              <w:tabs>
                <w:tab w:val="left" w:pos="473"/>
              </w:tabs>
              <w:adjustRightInd w:val="0"/>
              <w:snapToGrid w:val="0"/>
              <w:spacing w:line="440" w:lineRule="exact"/>
              <w:ind w:firstLine="218" w:firstLineChars="78"/>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12月</w:t>
            </w:r>
            <w:r>
              <w:rPr>
                <w:rFonts w:hint="eastAsia" w:ascii="仿宋_GB2312" w:hAnsi="仿宋_GB2312" w:eastAsia="仿宋_GB2312" w:cs="仿宋_GB2312"/>
                <w:color w:val="auto"/>
                <w:kern w:val="0"/>
                <w:sz w:val="28"/>
                <w:szCs w:val="28"/>
                <w:lang w:val="en-US" w:eastAsia="zh-CN" w:bidi="ar"/>
              </w:rPr>
              <w:t>24</w:t>
            </w:r>
            <w:r>
              <w:rPr>
                <w:rFonts w:hint="eastAsia" w:ascii="仿宋_GB2312" w:hAnsi="仿宋_GB2312" w:eastAsia="仿宋_GB2312" w:cs="仿宋_GB2312"/>
                <w:color w:val="auto"/>
                <w:kern w:val="0"/>
                <w:sz w:val="28"/>
                <w:szCs w:val="28"/>
                <w:lang w:bidi="ar"/>
              </w:rPr>
              <w:t>日（第</w:t>
            </w:r>
            <w:r>
              <w:rPr>
                <w:rFonts w:hint="eastAsia" w:ascii="仿宋_GB2312" w:hAnsi="仿宋_GB2312" w:eastAsia="仿宋_GB2312" w:cs="仿宋_GB2312"/>
                <w:color w:val="auto"/>
                <w:kern w:val="0"/>
                <w:sz w:val="28"/>
                <w:szCs w:val="28"/>
                <w:lang w:val="en-US" w:eastAsia="zh-CN" w:bidi="ar"/>
              </w:rPr>
              <w:t>17</w:t>
            </w:r>
            <w:r>
              <w:rPr>
                <w:rFonts w:hint="eastAsia" w:ascii="仿宋_GB2312" w:hAnsi="仿宋_GB2312" w:eastAsia="仿宋_GB2312" w:cs="仿宋_GB2312"/>
                <w:color w:val="auto"/>
                <w:kern w:val="0"/>
                <w:sz w:val="28"/>
                <w:szCs w:val="28"/>
                <w:lang w:bidi="ar"/>
              </w:rPr>
              <w:t>周周</w:t>
            </w:r>
            <w:r>
              <w:rPr>
                <w:rFonts w:hint="eastAsia" w:ascii="仿宋_GB2312" w:hAnsi="仿宋_GB2312" w:eastAsia="仿宋_GB2312" w:cs="仿宋_GB2312"/>
                <w:color w:val="auto"/>
                <w:kern w:val="0"/>
                <w:sz w:val="28"/>
                <w:szCs w:val="28"/>
                <w:lang w:eastAsia="zh-CN" w:bidi="ar"/>
              </w:rPr>
              <w:t>五</w:t>
            </w:r>
            <w:r>
              <w:rPr>
                <w:rFonts w:hint="eastAsia" w:ascii="仿宋_GB2312" w:hAnsi="仿宋_GB2312" w:eastAsia="仿宋_GB2312" w:cs="仿宋_GB2312"/>
                <w:color w:val="auto"/>
                <w:kern w:val="0"/>
                <w:sz w:val="28"/>
                <w:szCs w:val="28"/>
                <w:lang w:bidi="ar"/>
              </w:rPr>
              <w:t>）前</w:t>
            </w:r>
          </w:p>
        </w:tc>
      </w:tr>
      <w:tr>
        <w:tblPrEx>
          <w:tblCellMar>
            <w:top w:w="15" w:type="dxa"/>
            <w:left w:w="15" w:type="dxa"/>
            <w:bottom w:w="15" w:type="dxa"/>
            <w:right w:w="15" w:type="dxa"/>
          </w:tblCellMar>
        </w:tblPrEx>
        <w:trPr>
          <w:trHeight w:val="811" w:hRule="atLeast"/>
          <w:jc w:val="center"/>
        </w:trPr>
        <w:tc>
          <w:tcPr>
            <w:tcW w:w="653" w:type="dxa"/>
            <w:tcBorders>
              <w:top w:val="single" w:color="000000" w:sz="8" w:space="0"/>
              <w:left w:val="single" w:color="000000" w:sz="12" w:space="0"/>
              <w:bottom w:val="single" w:color="000000" w:sz="8" w:space="0"/>
              <w:right w:val="single" w:color="000000" w:sz="8" w:space="0"/>
            </w:tcBorders>
            <w:noWrap w:val="0"/>
            <w:vAlign w:val="center"/>
          </w:tcPr>
          <w:p>
            <w:pPr>
              <w:widowControl/>
              <w:adjustRightInd w:val="0"/>
              <w:snapToGrid w:val="0"/>
              <w:spacing w:line="44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320"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1"/>
              </w:numPr>
              <w:adjustRightInd w:val="0"/>
              <w:snapToGrid w:val="0"/>
              <w:spacing w:line="44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督促教师网上核查课表，反馈问题调整</w:t>
            </w:r>
          </w:p>
          <w:p>
            <w:pPr>
              <w:widowControl/>
              <w:numPr>
                <w:ilvl w:val="0"/>
                <w:numId w:val="1"/>
              </w:numPr>
              <w:adjustRightInd w:val="0"/>
              <w:snapToGrid w:val="0"/>
              <w:spacing w:line="44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报送教师</w:t>
            </w:r>
            <w:r>
              <w:rPr>
                <w:rFonts w:hint="eastAsia" w:ascii="仿宋_GB2312" w:hAnsi="仿宋_GB2312" w:eastAsia="仿宋_GB2312" w:cs="仿宋_GB2312"/>
                <w:color w:val="auto"/>
                <w:kern w:val="0"/>
                <w:sz w:val="28"/>
                <w:szCs w:val="28"/>
                <w:lang w:eastAsia="zh-CN" w:bidi="ar"/>
              </w:rPr>
              <w:t>、</w:t>
            </w:r>
            <w:r>
              <w:rPr>
                <w:rFonts w:hint="eastAsia" w:ascii="仿宋_GB2312" w:hAnsi="仿宋_GB2312" w:eastAsia="仿宋_GB2312" w:cs="仿宋_GB2312"/>
                <w:color w:val="auto"/>
                <w:kern w:val="0"/>
                <w:sz w:val="28"/>
                <w:szCs w:val="28"/>
                <w:lang w:bidi="ar"/>
              </w:rPr>
              <w:t>班级课表</w:t>
            </w:r>
          </w:p>
        </w:tc>
        <w:tc>
          <w:tcPr>
            <w:tcW w:w="4123" w:type="dxa"/>
            <w:vMerge w:val="restart"/>
            <w:tcBorders>
              <w:top w:val="single" w:color="000000" w:sz="8" w:space="0"/>
              <w:left w:val="single" w:color="000000" w:sz="8" w:space="0"/>
              <w:right w:val="single" w:color="000000" w:sz="12" w:space="0"/>
            </w:tcBorders>
            <w:noWrap w:val="0"/>
            <w:vAlign w:val="center"/>
          </w:tcPr>
          <w:p>
            <w:pPr>
              <w:widowControl/>
              <w:adjustRightInd w:val="0"/>
              <w:snapToGrid w:val="0"/>
              <w:spacing w:line="440" w:lineRule="exact"/>
              <w:ind w:firstLine="240" w:firstLineChars="100"/>
              <w:textAlignment w:val="center"/>
              <w:rPr>
                <w:rFonts w:hint="eastAsia"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kern w:val="0"/>
                <w:sz w:val="28"/>
                <w:szCs w:val="28"/>
                <w:lang w:bidi="ar"/>
              </w:rPr>
              <w:t>1</w:t>
            </w:r>
            <w:r>
              <w:rPr>
                <w:rFonts w:hint="eastAsia" w:ascii="仿宋_GB2312" w:hAnsi="仿宋_GB2312" w:eastAsia="仿宋_GB2312" w:cs="仿宋_GB2312"/>
                <w:color w:val="auto"/>
                <w:spacing w:val="-20"/>
                <w:kern w:val="0"/>
                <w:sz w:val="28"/>
                <w:szCs w:val="28"/>
                <w:lang w:val="en-US" w:eastAsia="zh-CN" w:bidi="ar"/>
              </w:rPr>
              <w:t>2</w:t>
            </w:r>
            <w:r>
              <w:rPr>
                <w:rFonts w:hint="eastAsia" w:ascii="仿宋_GB2312" w:hAnsi="仿宋_GB2312" w:eastAsia="仿宋_GB2312" w:cs="仿宋_GB2312"/>
                <w:color w:val="auto"/>
                <w:spacing w:val="-20"/>
                <w:kern w:val="0"/>
                <w:sz w:val="28"/>
                <w:szCs w:val="28"/>
                <w:lang w:bidi="ar"/>
              </w:rPr>
              <w:t>月</w:t>
            </w:r>
            <w:r>
              <w:rPr>
                <w:rFonts w:hint="eastAsia" w:ascii="仿宋_GB2312" w:hAnsi="仿宋_GB2312" w:eastAsia="仿宋_GB2312" w:cs="仿宋_GB2312"/>
                <w:color w:val="auto"/>
                <w:spacing w:val="-20"/>
                <w:kern w:val="0"/>
                <w:sz w:val="28"/>
                <w:szCs w:val="28"/>
                <w:lang w:val="en-US" w:eastAsia="zh-CN" w:bidi="ar"/>
              </w:rPr>
              <w:t>29</w:t>
            </w:r>
            <w:r>
              <w:rPr>
                <w:rFonts w:hint="eastAsia" w:ascii="仿宋_GB2312" w:hAnsi="仿宋_GB2312" w:eastAsia="仿宋_GB2312" w:cs="仿宋_GB2312"/>
                <w:color w:val="auto"/>
                <w:spacing w:val="-20"/>
                <w:kern w:val="0"/>
                <w:sz w:val="28"/>
                <w:szCs w:val="28"/>
                <w:lang w:bidi="ar"/>
              </w:rPr>
              <w:t>日（第18周周</w:t>
            </w:r>
            <w:r>
              <w:rPr>
                <w:rFonts w:hint="eastAsia" w:ascii="仿宋_GB2312" w:hAnsi="仿宋_GB2312" w:eastAsia="仿宋_GB2312" w:cs="仿宋_GB2312"/>
                <w:color w:val="auto"/>
                <w:spacing w:val="-20"/>
                <w:kern w:val="0"/>
                <w:sz w:val="28"/>
                <w:szCs w:val="28"/>
                <w:lang w:eastAsia="zh-CN" w:bidi="ar"/>
              </w:rPr>
              <w:t>三</w:t>
            </w:r>
            <w:r>
              <w:rPr>
                <w:rFonts w:hint="eastAsia" w:ascii="仿宋_GB2312" w:hAnsi="仿宋_GB2312" w:eastAsia="仿宋_GB2312" w:cs="仿宋_GB2312"/>
                <w:color w:val="auto"/>
                <w:spacing w:val="-20"/>
                <w:kern w:val="0"/>
                <w:sz w:val="28"/>
                <w:szCs w:val="28"/>
                <w:lang w:bidi="ar"/>
              </w:rPr>
              <w:t>）前</w:t>
            </w:r>
          </w:p>
        </w:tc>
      </w:tr>
      <w:tr>
        <w:tblPrEx>
          <w:tblCellMar>
            <w:top w:w="15" w:type="dxa"/>
            <w:left w:w="15" w:type="dxa"/>
            <w:bottom w:w="15" w:type="dxa"/>
            <w:right w:w="15" w:type="dxa"/>
          </w:tblCellMar>
        </w:tblPrEx>
        <w:trPr>
          <w:trHeight w:val="285" w:hRule="atLeast"/>
          <w:jc w:val="center"/>
        </w:trPr>
        <w:tc>
          <w:tcPr>
            <w:tcW w:w="653" w:type="dxa"/>
            <w:tcBorders>
              <w:top w:val="single" w:color="000000" w:sz="8" w:space="0"/>
              <w:left w:val="single" w:color="000000" w:sz="12" w:space="0"/>
              <w:bottom w:val="single" w:color="000000" w:sz="8" w:space="0"/>
              <w:right w:val="single" w:color="000000" w:sz="8" w:space="0"/>
            </w:tcBorders>
            <w:noWrap w:val="0"/>
            <w:vAlign w:val="center"/>
          </w:tcPr>
          <w:p>
            <w:pPr>
              <w:widowControl/>
              <w:adjustRightInd w:val="0"/>
              <w:snapToGrid w:val="0"/>
              <w:spacing w:line="44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320" w:type="dxa"/>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44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根据学校统一审核结果调整课表</w:t>
            </w:r>
          </w:p>
        </w:tc>
        <w:tc>
          <w:tcPr>
            <w:tcW w:w="4123" w:type="dxa"/>
            <w:vMerge w:val="continue"/>
            <w:tcBorders>
              <w:left w:val="single" w:color="000000" w:sz="8" w:space="0"/>
              <w:bottom w:val="single" w:color="000000" w:sz="8" w:space="0"/>
              <w:right w:val="single" w:color="000000" w:sz="12" w:space="0"/>
            </w:tcBorders>
            <w:noWrap w:val="0"/>
            <w:vAlign w:val="center"/>
          </w:tcPr>
          <w:p>
            <w:pPr>
              <w:widowControl/>
              <w:adjustRightInd w:val="0"/>
              <w:snapToGrid w:val="0"/>
              <w:spacing w:line="440" w:lineRule="exact"/>
              <w:ind w:firstLine="187" w:firstLineChars="78"/>
              <w:jc w:val="center"/>
              <w:textAlignment w:val="center"/>
              <w:rPr>
                <w:rFonts w:hint="eastAsia" w:ascii="仿宋_GB2312" w:hAnsi="仿宋_GB2312" w:eastAsia="仿宋_GB2312" w:cs="仿宋_GB2312"/>
                <w:color w:val="auto"/>
                <w:spacing w:val="-20"/>
                <w:sz w:val="28"/>
                <w:szCs w:val="28"/>
              </w:rPr>
            </w:pPr>
          </w:p>
        </w:tc>
      </w:tr>
      <w:tr>
        <w:tblPrEx>
          <w:tblCellMar>
            <w:top w:w="15" w:type="dxa"/>
            <w:left w:w="15" w:type="dxa"/>
            <w:bottom w:w="15" w:type="dxa"/>
            <w:right w:w="15" w:type="dxa"/>
          </w:tblCellMar>
        </w:tblPrEx>
        <w:trPr>
          <w:trHeight w:val="285" w:hRule="atLeast"/>
          <w:jc w:val="center"/>
        </w:trPr>
        <w:tc>
          <w:tcPr>
            <w:tcW w:w="653" w:type="dxa"/>
            <w:tcBorders>
              <w:top w:val="single" w:color="000000" w:sz="8" w:space="0"/>
              <w:left w:val="single" w:color="000000" w:sz="12" w:space="0"/>
              <w:bottom w:val="single" w:color="000000" w:sz="12" w:space="0"/>
              <w:right w:val="single" w:color="000000" w:sz="8" w:space="0"/>
            </w:tcBorders>
            <w:noWrap w:val="0"/>
            <w:vAlign w:val="center"/>
          </w:tcPr>
          <w:p>
            <w:pPr>
              <w:widowControl/>
              <w:adjustRightInd w:val="0"/>
              <w:snapToGrid w:val="0"/>
              <w:spacing w:line="44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320" w:type="dxa"/>
            <w:tcBorders>
              <w:top w:val="single" w:color="000000" w:sz="8" w:space="0"/>
              <w:left w:val="single" w:color="000000" w:sz="8" w:space="0"/>
              <w:bottom w:val="single" w:color="000000" w:sz="12" w:space="0"/>
              <w:right w:val="single" w:color="000000" w:sz="8" w:space="0"/>
            </w:tcBorders>
            <w:noWrap w:val="0"/>
            <w:vAlign w:val="center"/>
          </w:tcPr>
          <w:p>
            <w:pPr>
              <w:widowControl/>
              <w:adjustRightInd w:val="0"/>
              <w:snapToGrid w:val="0"/>
              <w:spacing w:line="44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打印正式课表并审核发放</w:t>
            </w:r>
          </w:p>
        </w:tc>
        <w:tc>
          <w:tcPr>
            <w:tcW w:w="4123" w:type="dxa"/>
            <w:tcBorders>
              <w:top w:val="single" w:color="000000" w:sz="8" w:space="0"/>
              <w:left w:val="single" w:color="000000" w:sz="8" w:space="0"/>
              <w:bottom w:val="single" w:color="000000" w:sz="12" w:space="0"/>
              <w:right w:val="single" w:color="000000" w:sz="12" w:space="0"/>
            </w:tcBorders>
            <w:noWrap w:val="0"/>
            <w:vAlign w:val="center"/>
          </w:tcPr>
          <w:p>
            <w:pPr>
              <w:widowControl/>
              <w:adjustRightInd w:val="0"/>
              <w:snapToGrid w:val="0"/>
              <w:spacing w:line="440" w:lineRule="exact"/>
              <w:ind w:firstLine="187" w:firstLineChars="78"/>
              <w:textAlignment w:val="center"/>
              <w:rPr>
                <w:rFonts w:hint="eastAsia" w:ascii="仿宋_GB2312" w:hAnsi="仿宋_GB2312" w:eastAsia="仿宋_GB2312" w:cs="仿宋_GB2312"/>
                <w:color w:val="auto"/>
                <w:spacing w:val="-20"/>
                <w:kern w:val="0"/>
                <w:sz w:val="28"/>
                <w:szCs w:val="28"/>
                <w:lang w:bidi="ar"/>
              </w:rPr>
            </w:pPr>
            <w:r>
              <w:rPr>
                <w:rFonts w:hint="eastAsia" w:ascii="仿宋_GB2312" w:hAnsi="仿宋_GB2312" w:eastAsia="仿宋_GB2312" w:cs="仿宋_GB2312"/>
                <w:color w:val="auto"/>
                <w:spacing w:val="-20"/>
                <w:kern w:val="0"/>
                <w:sz w:val="28"/>
                <w:szCs w:val="28"/>
                <w:lang w:bidi="ar"/>
              </w:rPr>
              <w:t>20</w:t>
            </w:r>
            <w:r>
              <w:rPr>
                <w:rFonts w:hint="eastAsia" w:ascii="仿宋_GB2312" w:hAnsi="仿宋_GB2312" w:eastAsia="仿宋_GB2312" w:cs="仿宋_GB2312"/>
                <w:color w:val="auto"/>
                <w:spacing w:val="-20"/>
                <w:kern w:val="0"/>
                <w:sz w:val="28"/>
                <w:szCs w:val="28"/>
                <w:lang w:val="en-US" w:eastAsia="zh-CN" w:bidi="ar"/>
              </w:rPr>
              <w:t>22</w:t>
            </w:r>
            <w:r>
              <w:rPr>
                <w:rFonts w:hint="eastAsia" w:ascii="仿宋_GB2312" w:hAnsi="仿宋_GB2312" w:eastAsia="仿宋_GB2312" w:cs="仿宋_GB2312"/>
                <w:color w:val="auto"/>
                <w:spacing w:val="-20"/>
                <w:kern w:val="0"/>
                <w:sz w:val="28"/>
                <w:szCs w:val="28"/>
                <w:lang w:bidi="ar"/>
              </w:rPr>
              <w:t>年1月</w:t>
            </w:r>
            <w:r>
              <w:rPr>
                <w:rFonts w:hint="eastAsia" w:ascii="仿宋_GB2312" w:hAnsi="仿宋_GB2312" w:eastAsia="仿宋_GB2312" w:cs="仿宋_GB2312"/>
                <w:color w:val="auto"/>
                <w:spacing w:val="-20"/>
                <w:kern w:val="0"/>
                <w:sz w:val="28"/>
                <w:szCs w:val="28"/>
                <w:lang w:val="en-US" w:eastAsia="zh-CN" w:bidi="ar"/>
              </w:rPr>
              <w:t>07</w:t>
            </w:r>
            <w:r>
              <w:rPr>
                <w:rFonts w:hint="eastAsia" w:ascii="仿宋_GB2312" w:hAnsi="仿宋_GB2312" w:eastAsia="仿宋_GB2312" w:cs="仿宋_GB2312"/>
                <w:color w:val="auto"/>
                <w:spacing w:val="-20"/>
                <w:kern w:val="0"/>
                <w:sz w:val="28"/>
                <w:szCs w:val="28"/>
                <w:lang w:bidi="ar"/>
              </w:rPr>
              <w:t>日（第</w:t>
            </w:r>
            <w:r>
              <w:rPr>
                <w:rFonts w:hint="eastAsia" w:ascii="仿宋_GB2312" w:hAnsi="仿宋_GB2312" w:eastAsia="仿宋_GB2312" w:cs="仿宋_GB2312"/>
                <w:color w:val="auto"/>
                <w:spacing w:val="-20"/>
                <w:kern w:val="0"/>
                <w:sz w:val="28"/>
                <w:szCs w:val="28"/>
                <w:lang w:val="en-US" w:eastAsia="zh-CN" w:bidi="ar"/>
              </w:rPr>
              <w:t>19</w:t>
            </w:r>
            <w:r>
              <w:rPr>
                <w:rFonts w:hint="eastAsia" w:ascii="仿宋_GB2312" w:hAnsi="仿宋_GB2312" w:eastAsia="仿宋_GB2312" w:cs="仿宋_GB2312"/>
                <w:color w:val="auto"/>
                <w:spacing w:val="-20"/>
                <w:kern w:val="0"/>
                <w:sz w:val="28"/>
                <w:szCs w:val="28"/>
                <w:lang w:bidi="ar"/>
              </w:rPr>
              <w:t>周周</w:t>
            </w:r>
            <w:r>
              <w:rPr>
                <w:rFonts w:hint="eastAsia" w:ascii="仿宋_GB2312" w:hAnsi="仿宋_GB2312" w:eastAsia="仿宋_GB2312" w:cs="仿宋_GB2312"/>
                <w:color w:val="auto"/>
                <w:spacing w:val="-20"/>
                <w:kern w:val="0"/>
                <w:sz w:val="28"/>
                <w:szCs w:val="28"/>
                <w:lang w:eastAsia="zh-CN" w:bidi="ar"/>
              </w:rPr>
              <w:t>五</w:t>
            </w:r>
            <w:r>
              <w:rPr>
                <w:rFonts w:hint="eastAsia" w:ascii="仿宋_GB2312" w:hAnsi="仿宋_GB2312" w:eastAsia="仿宋_GB2312" w:cs="仿宋_GB2312"/>
                <w:color w:val="auto"/>
                <w:spacing w:val="-20"/>
                <w:kern w:val="0"/>
                <w:sz w:val="28"/>
                <w:szCs w:val="28"/>
                <w:lang w:bidi="ar"/>
              </w:rPr>
              <w:t>）前</w:t>
            </w:r>
          </w:p>
        </w:tc>
      </w:tr>
    </w:tbl>
    <w:p>
      <w:pPr>
        <w:numPr>
          <w:ilvl w:val="0"/>
          <w:numId w:val="2"/>
        </w:numPr>
        <w:adjustRightInd w:val="0"/>
        <w:snapToGrid w:val="0"/>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学校统一挂牌上课课程明细</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1.20</w:t>
      </w:r>
      <w:r>
        <w:rPr>
          <w:rFonts w:hint="eastAsia" w:ascii="仿宋_GB2312" w:hAnsi="宋体" w:eastAsia="仿宋_GB2312" w:cs="仿宋_GB2312"/>
          <w:color w:val="auto"/>
          <w:sz w:val="32"/>
          <w:szCs w:val="32"/>
          <w:lang w:val="en-US" w:eastAsia="zh-CN"/>
        </w:rPr>
        <w:t>21</w:t>
      </w:r>
      <w:r>
        <w:rPr>
          <w:rFonts w:hint="eastAsia" w:ascii="仿宋_GB2312" w:hAnsi="宋体" w:eastAsia="仿宋_GB2312" w:cs="仿宋_GB2312"/>
          <w:color w:val="auto"/>
          <w:sz w:val="32"/>
          <w:szCs w:val="32"/>
        </w:rPr>
        <w:t>级：</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学院内挂牌课包含</w:t>
      </w:r>
      <w:r>
        <w:rPr>
          <w:rFonts w:hint="eastAsia" w:ascii="仿宋_GB2312" w:hAnsi="宋体" w:eastAsia="仿宋_GB2312" w:cs="仿宋_GB2312"/>
          <w:color w:val="auto"/>
          <w:sz w:val="32"/>
          <w:szCs w:val="32"/>
        </w:rPr>
        <w:t>高等数学Ⅰ-A2、大学物理A1、大学物理</w:t>
      </w:r>
      <w:r>
        <w:rPr>
          <w:rFonts w:hint="eastAsia" w:ascii="仿宋_GB2312" w:hAnsi="宋体" w:eastAsia="仿宋_GB2312" w:cs="仿宋_GB2312"/>
          <w:color w:val="auto"/>
          <w:sz w:val="32"/>
          <w:szCs w:val="32"/>
          <w:lang w:val="en-US" w:eastAsia="zh-CN"/>
        </w:rPr>
        <w:t>B</w:t>
      </w:r>
      <w:r>
        <w:rPr>
          <w:rFonts w:hint="eastAsia" w:ascii="仿宋_GB2312" w:hAnsi="宋体" w:eastAsia="仿宋_GB2312" w:cs="仿宋_GB2312"/>
          <w:color w:val="auto"/>
          <w:sz w:val="32"/>
          <w:szCs w:val="32"/>
        </w:rPr>
        <w:t>1</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大学化学、有机化学</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大学英语2</w:t>
      </w:r>
      <w:r>
        <w:rPr>
          <w:rFonts w:hint="eastAsia" w:ascii="仿宋_GB2312" w:hAnsi="宋体" w:eastAsia="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全校挂牌课包含</w:t>
      </w:r>
      <w:r>
        <w:rPr>
          <w:rFonts w:hint="eastAsia" w:ascii="仿宋_GB2312" w:hAnsi="宋体" w:eastAsia="仿宋_GB2312" w:cs="仿宋_GB2312"/>
          <w:color w:val="auto"/>
          <w:sz w:val="32"/>
          <w:szCs w:val="32"/>
        </w:rPr>
        <w:t>概率论与数理统计A、概率论与数理统计</w:t>
      </w:r>
      <w:r>
        <w:rPr>
          <w:rFonts w:hint="eastAsia" w:ascii="仿宋_GB2312" w:hAnsi="宋体" w:eastAsia="仿宋_GB2312" w:cs="仿宋_GB2312"/>
          <w:color w:val="auto"/>
          <w:sz w:val="32"/>
          <w:szCs w:val="32"/>
          <w:lang w:val="en-US" w:eastAsia="zh-CN"/>
        </w:rPr>
        <w:t>B</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土木工程制图、机械制图I、机械制图Ⅱ、机械测绘、建筑力学II1、理论力学Ⅰ（土木类）</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思想道德与</w:t>
      </w:r>
      <w:r>
        <w:rPr>
          <w:rFonts w:hint="eastAsia" w:ascii="仿宋_GB2312" w:hAnsi="宋体" w:eastAsia="仿宋_GB2312" w:cs="仿宋_GB2312"/>
          <w:color w:val="auto"/>
          <w:sz w:val="32"/>
          <w:szCs w:val="32"/>
          <w:lang w:eastAsia="zh-CN"/>
        </w:rPr>
        <w:t>法治</w:t>
      </w:r>
      <w:r>
        <w:rPr>
          <w:rFonts w:hint="eastAsia" w:ascii="仿宋_GB2312" w:hAnsi="宋体" w:eastAsia="仿宋_GB2312" w:cs="仿宋_GB2312"/>
          <w:color w:val="auto"/>
          <w:sz w:val="32"/>
          <w:szCs w:val="32"/>
        </w:rPr>
        <w:t>、中国近现代史纲要、大学体育2。</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2.20</w:t>
      </w:r>
      <w:r>
        <w:rPr>
          <w:rFonts w:hint="eastAsia" w:ascii="仿宋_GB2312" w:hAnsi="宋体" w:eastAsia="仿宋_GB2312" w:cs="仿宋_GB2312"/>
          <w:color w:val="auto"/>
          <w:sz w:val="32"/>
          <w:szCs w:val="32"/>
          <w:lang w:val="en-US" w:eastAsia="zh-CN"/>
        </w:rPr>
        <w:t>20</w:t>
      </w:r>
      <w:r>
        <w:rPr>
          <w:rFonts w:hint="eastAsia" w:ascii="仿宋_GB2312" w:hAnsi="宋体" w:eastAsia="仿宋_GB2312" w:cs="仿宋_GB2312"/>
          <w:color w:val="auto"/>
          <w:sz w:val="32"/>
          <w:szCs w:val="32"/>
        </w:rPr>
        <w:t>级：</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学院内挂牌课包含</w:t>
      </w:r>
      <w:r>
        <w:rPr>
          <w:rFonts w:hint="eastAsia" w:ascii="仿宋_GB2312" w:hAnsi="宋体" w:eastAsia="仿宋_GB2312" w:cs="仿宋_GB2312"/>
          <w:color w:val="auto"/>
          <w:sz w:val="32"/>
          <w:szCs w:val="32"/>
        </w:rPr>
        <w:t>大学英语4/大学英语拓展课2</w:t>
      </w:r>
      <w:r>
        <w:rPr>
          <w:rFonts w:hint="eastAsia" w:ascii="仿宋_GB2312" w:hAnsi="宋体" w:eastAsia="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全校挂牌课包含</w:t>
      </w:r>
      <w:r>
        <w:rPr>
          <w:rFonts w:hint="eastAsia" w:ascii="仿宋_GB2312" w:hAnsi="宋体" w:eastAsia="仿宋_GB2312" w:cs="仿宋_GB2312"/>
          <w:color w:val="auto"/>
          <w:sz w:val="32"/>
          <w:szCs w:val="32"/>
        </w:rPr>
        <w:t>材料力学Ⅱ1（机械类）、工程力学、分析化学、复变函数与积分变换、计算方法、数学物理方程</w:t>
      </w:r>
      <w:r>
        <w:rPr>
          <w:rFonts w:hint="eastAsia" w:ascii="仿宋_GB2312" w:hAnsi="宋体" w:eastAsia="仿宋_GB2312" w:cs="仿宋_GB2312"/>
          <w:color w:val="auto"/>
          <w:sz w:val="32"/>
          <w:szCs w:val="32"/>
          <w:lang w:eastAsia="zh-CN"/>
        </w:rPr>
        <w:t>、运筹学、</w:t>
      </w:r>
      <w:r>
        <w:rPr>
          <w:rFonts w:hint="eastAsia" w:ascii="仿宋_GB2312" w:hAnsi="宋体" w:eastAsia="仿宋_GB2312" w:cs="仿宋_GB2312"/>
          <w:color w:val="auto"/>
          <w:sz w:val="32"/>
          <w:szCs w:val="32"/>
        </w:rPr>
        <w:t>马克思主义基本原理、毛泽东思想和中国特色社会主义理论体系概论、电工电子技术、大学体育4。</w:t>
      </w:r>
    </w:p>
    <w:p>
      <w:pPr>
        <w:adjustRightInd w:val="0"/>
        <w:snapToGrid w:val="0"/>
        <w:spacing w:line="560" w:lineRule="exact"/>
        <w:ind w:firstLine="640" w:firstLineChars="200"/>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3.2019级：形势与政策4。</w:t>
      </w:r>
    </w:p>
    <w:p>
      <w:pPr>
        <w:adjustRightInd w:val="0"/>
        <w:snapToGrid w:val="0"/>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三、课表编排要求</w:t>
      </w:r>
    </w:p>
    <w:p>
      <w:pPr>
        <w:adjustRightInd w:val="0"/>
        <w:snapToGrid w:val="0"/>
        <w:spacing w:line="560" w:lineRule="exact"/>
        <w:ind w:firstLine="640" w:firstLineChars="200"/>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rPr>
        <w:t>1.</w:t>
      </w:r>
      <w:r>
        <w:rPr>
          <w:rFonts w:hint="eastAsia" w:ascii="仿宋_GB2312" w:hAnsi="宋体" w:eastAsia="仿宋_GB2312" w:cs="仿宋_GB2312"/>
          <w:color w:val="auto"/>
          <w:sz w:val="32"/>
          <w:szCs w:val="32"/>
          <w:highlight w:val="none"/>
        </w:rPr>
        <w:t>学院</w:t>
      </w:r>
      <w:r>
        <w:rPr>
          <w:rFonts w:ascii="仿宋_GB2312" w:hAnsi="宋体" w:eastAsia="仿宋_GB2312" w:cs="仿宋_GB2312"/>
          <w:color w:val="auto"/>
          <w:sz w:val="32"/>
          <w:szCs w:val="32"/>
          <w:highlight w:val="none"/>
        </w:rPr>
        <w:t>排课时</w:t>
      </w:r>
      <w:r>
        <w:rPr>
          <w:rFonts w:hint="eastAsia" w:ascii="仿宋_GB2312" w:hAnsi="宋体" w:eastAsia="仿宋_GB2312" w:cs="仿宋_GB2312"/>
          <w:color w:val="auto"/>
          <w:sz w:val="32"/>
          <w:szCs w:val="32"/>
          <w:highlight w:val="none"/>
        </w:rPr>
        <w:t>勿改动教务处</w:t>
      </w:r>
      <w:r>
        <w:rPr>
          <w:rFonts w:ascii="仿宋_GB2312" w:hAnsi="宋体" w:eastAsia="仿宋_GB2312" w:cs="仿宋_GB2312"/>
          <w:color w:val="auto"/>
          <w:sz w:val="32"/>
          <w:szCs w:val="32"/>
          <w:highlight w:val="none"/>
        </w:rPr>
        <w:t>已安排的</w:t>
      </w:r>
      <w:r>
        <w:rPr>
          <w:rFonts w:hint="eastAsia" w:ascii="仿宋_GB2312" w:hAnsi="宋体" w:eastAsia="仿宋_GB2312" w:cs="仿宋_GB2312"/>
          <w:color w:val="auto"/>
          <w:sz w:val="32"/>
          <w:szCs w:val="32"/>
          <w:highlight w:val="none"/>
        </w:rPr>
        <w:t>学校统一挂牌</w:t>
      </w:r>
      <w:r>
        <w:rPr>
          <w:rFonts w:ascii="仿宋_GB2312" w:hAnsi="宋体" w:eastAsia="仿宋_GB2312" w:cs="仿宋_GB2312"/>
          <w:color w:val="auto"/>
          <w:sz w:val="32"/>
          <w:szCs w:val="32"/>
          <w:highlight w:val="none"/>
        </w:rPr>
        <w:t>课程、跨</w:t>
      </w:r>
      <w:r>
        <w:rPr>
          <w:rFonts w:hint="eastAsia" w:ascii="仿宋_GB2312" w:hAnsi="宋体" w:eastAsia="仿宋_GB2312" w:cs="仿宋_GB2312"/>
          <w:color w:val="auto"/>
          <w:sz w:val="32"/>
          <w:szCs w:val="32"/>
          <w:highlight w:val="none"/>
        </w:rPr>
        <w:t>学</w:t>
      </w:r>
      <w:r>
        <w:rPr>
          <w:rFonts w:ascii="仿宋_GB2312" w:hAnsi="宋体" w:eastAsia="仿宋_GB2312" w:cs="仿宋_GB2312"/>
          <w:color w:val="auto"/>
          <w:sz w:val="32"/>
          <w:szCs w:val="32"/>
          <w:highlight w:val="none"/>
        </w:rPr>
        <w:t>院课程及</w:t>
      </w:r>
      <w:r>
        <w:rPr>
          <w:rFonts w:hint="eastAsia" w:ascii="仿宋_GB2312" w:hAnsi="宋体" w:eastAsia="仿宋_GB2312" w:cs="仿宋_GB2312"/>
          <w:color w:val="auto"/>
          <w:sz w:val="32"/>
          <w:szCs w:val="32"/>
          <w:highlight w:val="none"/>
        </w:rPr>
        <w:t>体育、实验等受场地制约的课程</w:t>
      </w:r>
      <w:r>
        <w:rPr>
          <w:rFonts w:ascii="仿宋_GB2312" w:hAnsi="宋体" w:eastAsia="仿宋_GB2312" w:cs="仿宋_GB2312"/>
          <w:color w:val="auto"/>
          <w:sz w:val="32"/>
          <w:szCs w:val="32"/>
          <w:highlight w:val="none"/>
        </w:rPr>
        <w:t>课表</w:t>
      </w:r>
      <w:r>
        <w:rPr>
          <w:rFonts w:hint="eastAsia" w:ascii="仿宋_GB2312" w:hAnsi="宋体" w:eastAsia="仿宋_GB2312" w:cs="仿宋_GB2312"/>
          <w:color w:val="auto"/>
          <w:sz w:val="32"/>
          <w:szCs w:val="32"/>
          <w:highlight w:val="none"/>
        </w:rPr>
        <w:t>。</w:t>
      </w:r>
    </w:p>
    <w:p>
      <w:pPr>
        <w:pStyle w:val="7"/>
        <w:adjustRightInd w:val="0"/>
        <w:snapToGrid w:val="0"/>
        <w:spacing w:line="560" w:lineRule="exact"/>
        <w:ind w:firstLine="640"/>
        <w:rPr>
          <w:rFonts w:hint="eastAsia" w:ascii="仿宋_GB2312" w:eastAsia="仿宋_GB2312"/>
          <w:color w:val="auto"/>
          <w:sz w:val="32"/>
          <w:szCs w:val="32"/>
        </w:rPr>
      </w:pPr>
      <w:r>
        <w:rPr>
          <w:rFonts w:hint="eastAsia" w:ascii="仿宋_GB2312" w:hAnsi="宋体" w:eastAsia="仿宋_GB2312" w:cs="仿宋_GB2312"/>
          <w:color w:val="auto"/>
          <w:sz w:val="32"/>
          <w:szCs w:val="32"/>
        </w:rPr>
        <w:t>2.</w:t>
      </w:r>
      <w:r>
        <w:rPr>
          <w:rFonts w:hint="eastAsia" w:ascii="仿宋_GB2312" w:eastAsia="仿宋_GB2312"/>
          <w:color w:val="auto"/>
          <w:sz w:val="32"/>
          <w:szCs w:val="32"/>
        </w:rPr>
        <w:t>草堂校区任课教师承担不同教学班教学任务时一般应保证在同一天内，课堂教学每天上课课时</w:t>
      </w:r>
      <w:r>
        <w:rPr>
          <w:rFonts w:ascii="仿宋_GB2312" w:eastAsia="仿宋_GB2312"/>
          <w:color w:val="auto"/>
          <w:sz w:val="32"/>
          <w:szCs w:val="32"/>
        </w:rPr>
        <w:t>不得</w:t>
      </w:r>
      <w:r>
        <w:rPr>
          <w:rFonts w:hint="eastAsia" w:ascii="仿宋_GB2312" w:eastAsia="仿宋_GB2312"/>
          <w:color w:val="auto"/>
          <w:sz w:val="32"/>
          <w:szCs w:val="32"/>
        </w:rPr>
        <w:t>超过6学时，学生</w:t>
      </w:r>
      <w:r>
        <w:rPr>
          <w:rFonts w:ascii="仿宋_GB2312" w:eastAsia="仿宋_GB2312"/>
          <w:color w:val="auto"/>
          <w:sz w:val="32"/>
          <w:szCs w:val="32"/>
        </w:rPr>
        <w:t>每周</w:t>
      </w:r>
      <w:r>
        <w:rPr>
          <w:rFonts w:hint="eastAsia" w:ascii="仿宋_GB2312" w:eastAsia="仿宋_GB2312"/>
          <w:color w:val="auto"/>
          <w:sz w:val="32"/>
          <w:szCs w:val="32"/>
        </w:rPr>
        <w:t>至少</w:t>
      </w:r>
      <w:r>
        <w:rPr>
          <w:rFonts w:ascii="仿宋_GB2312" w:eastAsia="仿宋_GB2312"/>
          <w:color w:val="auto"/>
          <w:sz w:val="32"/>
          <w:szCs w:val="32"/>
        </w:rPr>
        <w:t>三天</w:t>
      </w:r>
      <w:r>
        <w:rPr>
          <w:rFonts w:hint="eastAsia" w:ascii="仿宋_GB2312" w:eastAsia="仿宋_GB2312"/>
          <w:color w:val="auto"/>
          <w:sz w:val="32"/>
          <w:szCs w:val="32"/>
        </w:rPr>
        <w:t>1-2节有课。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仿宋_GB2312" w:hAnsi="宋体" w:eastAsia="仿宋_GB2312" w:cs="仿宋_GB2312"/>
          <w:sz w:val="32"/>
          <w:szCs w:val="32"/>
          <w:lang w:val="en-US" w:eastAsia="zh-CN"/>
        </w:rPr>
      </w:pPr>
      <w:r>
        <w:rPr>
          <w:rFonts w:hint="eastAsia" w:ascii="仿宋_GB2312" w:eastAsia="仿宋_GB2312"/>
          <w:color w:val="auto"/>
          <w:sz w:val="32"/>
          <w:szCs w:val="32"/>
          <w:lang w:val="en-US" w:eastAsia="zh-CN"/>
        </w:rPr>
        <w:t>3.</w:t>
      </w:r>
      <w:r>
        <w:rPr>
          <w:rFonts w:hint="eastAsia" w:ascii="仿宋_GB2312" w:hAnsi="宋体" w:eastAsia="仿宋_GB2312"/>
          <w:sz w:val="32"/>
          <w:szCs w:val="32"/>
        </w:rPr>
        <w:t>如教师确有特殊原因需要课表连排，</w:t>
      </w:r>
      <w:r>
        <w:rPr>
          <w:rFonts w:hint="eastAsia" w:ascii="仿宋_GB2312" w:hAnsi="宋体" w:eastAsia="仿宋_GB2312"/>
          <w:sz w:val="32"/>
          <w:szCs w:val="32"/>
          <w:lang w:val="en-US" w:eastAsia="zh-CN"/>
        </w:rPr>
        <w:t>应</w:t>
      </w:r>
      <w:r>
        <w:rPr>
          <w:rFonts w:hint="eastAsia" w:ascii="仿宋_GB2312" w:hAnsi="宋体" w:eastAsia="仿宋_GB2312"/>
          <w:sz w:val="32"/>
          <w:szCs w:val="32"/>
        </w:rPr>
        <w:t>向教研室、学院提出申请。学院根据其下学期教学任务量、课程类型、及历年授课效果，严格审核相关申请，审核通过名单报信息科备案。每学院课表连排教师不得超过该学院草堂校区授课教师人数的5%。</w:t>
      </w:r>
    </w:p>
    <w:p>
      <w:pPr>
        <w:adjustRightInd w:val="0"/>
        <w:snapToGrid w:val="0"/>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四、节假日、辅修等空周安排</w:t>
      </w:r>
    </w:p>
    <w:p>
      <w:pPr>
        <w:adjustRightInd w:val="0"/>
        <w:snapToGrid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1.下学期国家法定节假日不安排教学，</w:t>
      </w:r>
      <w:r>
        <w:rPr>
          <w:rFonts w:ascii="仿宋_GB2312" w:hAnsi="宋体" w:eastAsia="仿宋_GB2312" w:cs="仿宋_GB2312"/>
          <w:color w:val="auto"/>
          <w:sz w:val="32"/>
          <w:szCs w:val="32"/>
        </w:rPr>
        <w:t>具体时间</w:t>
      </w:r>
      <w:r>
        <w:rPr>
          <w:rFonts w:hint="eastAsia" w:ascii="仿宋_GB2312" w:hAnsi="宋体" w:eastAsia="仿宋_GB2312" w:cs="仿宋_GB2312"/>
          <w:color w:val="auto"/>
          <w:sz w:val="32"/>
          <w:szCs w:val="32"/>
        </w:rPr>
        <w:t>为：</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（1）清明节</w:t>
      </w:r>
      <w:r>
        <w:rPr>
          <w:rFonts w:hint="eastAsia" w:ascii="仿宋_GB2312" w:hAnsi="宋体" w:eastAsia="仿宋_GB2312" w:cs="仿宋_GB2312"/>
          <w:color w:val="auto"/>
          <w:sz w:val="32"/>
          <w:szCs w:val="32"/>
          <w:lang w:eastAsia="zh-CN"/>
        </w:rPr>
        <w:t>：四月3、4、5号（6周日、6周一，6周二）不排课，四月2号（5周六）补课；</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（2）</w:t>
      </w:r>
      <w:r>
        <w:rPr>
          <w:rFonts w:hint="eastAsia" w:ascii="仿宋_GB2312" w:hAnsi="宋体" w:eastAsia="仿宋_GB2312" w:cs="仿宋_GB2312"/>
          <w:color w:val="auto"/>
          <w:sz w:val="32"/>
          <w:szCs w:val="32"/>
          <w:lang w:eastAsia="zh-CN"/>
        </w:rPr>
        <w:t>劳动节：四月30号（9周六），五月1、2、3、4号（10周日、10周一至10周三）不排课；4月24日9周日、5月7日10周六调休补课；</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（3）</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端午节：六月3、4、5号（14周五、14周六，15周日）不排课</w:t>
      </w:r>
      <w:r>
        <w:rPr>
          <w:rFonts w:hint="eastAsia" w:ascii="仿宋_GB2312" w:hAnsi="宋体" w:eastAsia="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w:t>
      </w:r>
      <w:r>
        <w:rPr>
          <w:rFonts w:hint="eastAsia" w:ascii="仿宋_GB2312" w:hAnsi="宋体" w:eastAsia="仿宋_GB2312" w:cs="仿宋_GB2312"/>
          <w:color w:val="auto"/>
          <w:sz w:val="32"/>
          <w:szCs w:val="32"/>
          <w:lang w:eastAsia="zh-CN"/>
        </w:rPr>
        <w:t>因下学期四六级口语及笔试考试时间仍未确定，依往年经验推测笔试为</w:t>
      </w:r>
      <w:r>
        <w:rPr>
          <w:rFonts w:hint="eastAsia" w:ascii="仿宋_GB2312" w:hAnsi="宋体" w:eastAsia="仿宋_GB2312" w:cs="仿宋_GB2312"/>
          <w:color w:val="auto"/>
          <w:sz w:val="32"/>
          <w:szCs w:val="32"/>
          <w:lang w:val="en-US" w:eastAsia="zh-CN"/>
        </w:rPr>
        <w:t>15周周六，所以</w:t>
      </w:r>
      <w:r>
        <w:rPr>
          <w:rFonts w:hint="eastAsia" w:ascii="仿宋_GB2312" w:hAnsi="宋体" w:eastAsia="仿宋_GB2312" w:cs="仿宋_GB2312"/>
          <w:color w:val="auto"/>
          <w:sz w:val="32"/>
          <w:szCs w:val="32"/>
          <w:lang w:eastAsia="zh-CN"/>
        </w:rPr>
        <w:t>暂时建议</w:t>
      </w:r>
      <w:r>
        <w:rPr>
          <w:rFonts w:hint="eastAsia" w:ascii="仿宋_GB2312" w:hAnsi="宋体" w:eastAsia="仿宋_GB2312" w:cs="仿宋_GB2312"/>
          <w:color w:val="auto"/>
          <w:sz w:val="32"/>
          <w:szCs w:val="32"/>
        </w:rPr>
        <w:t>15周六(6月</w:t>
      </w:r>
      <w:r>
        <w:rPr>
          <w:rFonts w:hint="eastAsia" w:ascii="仿宋_GB2312" w:hAnsi="宋体" w:eastAsia="仿宋_GB2312" w:cs="仿宋_GB2312"/>
          <w:color w:val="auto"/>
          <w:sz w:val="32"/>
          <w:szCs w:val="32"/>
          <w:lang w:val="en-US" w:eastAsia="zh-CN"/>
        </w:rPr>
        <w:t>11</w:t>
      </w:r>
      <w:r>
        <w:rPr>
          <w:rFonts w:hint="eastAsia" w:ascii="仿宋_GB2312" w:hAnsi="宋体" w:eastAsia="仿宋_GB2312" w:cs="仿宋_GB2312"/>
          <w:color w:val="auto"/>
          <w:sz w:val="32"/>
          <w:szCs w:val="32"/>
        </w:rPr>
        <w:t>日)CET考试，不排课</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15周周五（6月10日）下午9-10节不排课，为4、6级考试考前考场布置留出时间。</w:t>
      </w:r>
    </w:p>
    <w:p>
      <w:pPr>
        <w:adjustRightInd w:val="0"/>
        <w:snapToGrid w:val="0"/>
        <w:spacing w:line="560" w:lineRule="exact"/>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val="en-US" w:eastAsia="zh-CN"/>
        </w:rPr>
        <w:t>3</w:t>
      </w:r>
      <w:r>
        <w:rPr>
          <w:rFonts w:hint="eastAsia" w:ascii="仿宋_GB2312" w:hAnsi="宋体" w:eastAsia="仿宋_GB2312" w:cs="仿宋_GB2312"/>
          <w:color w:val="auto"/>
          <w:sz w:val="32"/>
          <w:szCs w:val="32"/>
        </w:rPr>
        <w:t>.辅修专业课程教学时间</w:t>
      </w:r>
      <w:r>
        <w:rPr>
          <w:rFonts w:hint="eastAsia" w:ascii="仿宋_GB2312" w:hAnsi="宋体" w:eastAsia="仿宋_GB2312" w:cs="仿宋_GB2312"/>
          <w:color w:val="auto"/>
          <w:sz w:val="32"/>
          <w:szCs w:val="32"/>
          <w:lang w:eastAsia="zh-CN"/>
        </w:rPr>
        <w:t>不安排教学，具体时间为：</w:t>
      </w:r>
    </w:p>
    <w:p>
      <w:pPr>
        <w:adjustRightInd w:val="0"/>
        <w:snapToGrid w:val="0"/>
        <w:spacing w:line="560" w:lineRule="exact"/>
        <w:ind w:firstLine="640" w:firstLineChars="200"/>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lang w:val="en-US" w:eastAsia="zh-CN"/>
        </w:rPr>
        <w:tab/>
      </w:r>
      <w:r>
        <w:rPr>
          <w:rFonts w:hint="eastAsia" w:ascii="仿宋_GB2312" w:hAnsi="宋体" w:eastAsia="仿宋_GB2312" w:cs="仿宋_GB2312"/>
          <w:color w:val="auto"/>
          <w:sz w:val="32"/>
          <w:szCs w:val="32"/>
        </w:rPr>
        <w:t>20</w:t>
      </w:r>
      <w:r>
        <w:rPr>
          <w:rFonts w:hint="eastAsia" w:ascii="仿宋_GB2312" w:hAnsi="宋体" w:eastAsia="仿宋_GB2312" w:cs="仿宋_GB2312"/>
          <w:color w:val="auto"/>
          <w:sz w:val="32"/>
          <w:szCs w:val="32"/>
          <w:lang w:val="en-US" w:eastAsia="zh-CN"/>
        </w:rPr>
        <w:t>20</w:t>
      </w:r>
      <w:r>
        <w:rPr>
          <w:rFonts w:hint="eastAsia" w:ascii="仿宋_GB2312" w:hAnsi="宋体" w:eastAsia="仿宋_GB2312" w:cs="仿宋_GB2312"/>
          <w:color w:val="auto"/>
          <w:sz w:val="32"/>
          <w:szCs w:val="32"/>
        </w:rPr>
        <w:t>级</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1-13、15-16周周</w:t>
      </w:r>
      <w:r>
        <w:rPr>
          <w:rFonts w:hint="eastAsia" w:ascii="仿宋_GB2312" w:hAnsi="宋体" w:eastAsia="仿宋_GB2312" w:cs="仿宋_GB2312"/>
          <w:color w:val="auto"/>
          <w:sz w:val="32"/>
          <w:szCs w:val="32"/>
          <w:lang w:eastAsia="zh-CN"/>
        </w:rPr>
        <w:t>五</w:t>
      </w:r>
      <w:r>
        <w:rPr>
          <w:rFonts w:hint="eastAsia" w:ascii="仿宋_GB2312" w:hAnsi="宋体" w:eastAsia="仿宋_GB2312" w:cs="仿宋_GB2312"/>
          <w:color w:val="auto"/>
          <w:sz w:val="32"/>
          <w:szCs w:val="32"/>
          <w:lang w:val="en-US" w:eastAsia="zh-CN"/>
        </w:rPr>
        <w:t>9-12节；1-4、6-8、11-13、16周周六1-10节。</w:t>
      </w:r>
    </w:p>
    <w:p>
      <w:pPr>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lang w:val="en-US" w:eastAsia="zh-CN"/>
        </w:rPr>
        <w:tab/>
      </w:r>
      <w:r>
        <w:rPr>
          <w:rFonts w:hint="eastAsia"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级</w:t>
      </w:r>
      <w:r>
        <w:rPr>
          <w:rFonts w:hint="eastAsia" w:ascii="仿宋_GB2312" w:hAnsi="宋体" w:eastAsia="仿宋_GB2312" w:cs="仿宋_GB2312"/>
          <w:color w:val="auto"/>
          <w:sz w:val="32"/>
          <w:szCs w:val="32"/>
          <w:lang w:val="en-US" w:eastAsia="zh-CN"/>
        </w:rPr>
        <w:t>：1-4、6-8、11-13、16周周六1-10节</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2-5、7-8、11-14、16周周日1-10节。</w:t>
      </w:r>
    </w:p>
    <w:p>
      <w:pPr>
        <w:adjustRightInd w:val="0"/>
        <w:snapToGrid w:val="0"/>
        <w:spacing w:line="560" w:lineRule="exact"/>
        <w:rPr>
          <w:rFonts w:hint="eastAsia" w:ascii="黑体" w:hAnsi="黑体" w:eastAsia="黑体" w:cs="黑体"/>
          <w:color w:val="auto"/>
          <w:sz w:val="32"/>
          <w:szCs w:val="32"/>
        </w:rPr>
      </w:pPr>
    </w:p>
    <w:p>
      <w:pPr>
        <w:rPr>
          <w:color w:val="auto"/>
        </w:rPr>
      </w:pPr>
    </w:p>
    <w:p>
      <w:pPr>
        <w:jc w:val="both"/>
        <w:rPr>
          <w:rFonts w:ascii="黑体" w:hAnsi="黑体" w:eastAsia="黑体" w:cs="黑体"/>
          <w:color w:val="auto"/>
          <w:sz w:val="32"/>
          <w:szCs w:val="32"/>
        </w:rPr>
      </w:pPr>
    </w:p>
    <w:p/>
    <w:p/>
    <w:sectPr>
      <w:footerReference r:id="rId3" w:type="default"/>
      <w:footerReference r:id="rId4" w:type="even"/>
      <w:pgSz w:w="11907" w:h="16840"/>
      <w:pgMar w:top="2098" w:right="1474" w:bottom="1984" w:left="1588" w:header="851" w:footer="158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8FFE8"/>
    <w:multiLevelType w:val="singleLevel"/>
    <w:tmpl w:val="5A28FFE8"/>
    <w:lvl w:ilvl="0" w:tentative="0">
      <w:start w:val="2"/>
      <w:numFmt w:val="chineseCounting"/>
      <w:suff w:val="nothing"/>
      <w:lvlText w:val="%1、"/>
      <w:lvlJc w:val="left"/>
    </w:lvl>
  </w:abstractNum>
  <w:abstractNum w:abstractNumId="1">
    <w:nsid w:val="78BED472"/>
    <w:multiLevelType w:val="singleLevel"/>
    <w:tmpl w:val="78BED4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81B52"/>
    <w:rsid w:val="4F3A5BAF"/>
    <w:rsid w:val="7D88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_Style 1"/>
    <w:basedOn w:val="1"/>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2021-12-15T09:34:00Z</dcterms:created>
  <dc:creator>wr</dc:creator>
  <cp:lastModifiedBy>wr</cp:lastModifiedBy>
  <dcterms:modified xsi:type="dcterms:W3CDTF">2021-12-16T00:44:38Z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0AFD0D4603E740E5B0B5333A83560A5C</vt:lpwstr>
  </property>
</Properties>
</file>