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kern w:val="0"/>
          <w:sz w:val="28"/>
          <w:szCs w:val="28"/>
        </w:rPr>
        <w:t>附件：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黑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kern w:val="0"/>
          <w:sz w:val="28"/>
          <w:szCs w:val="28"/>
        </w:rPr>
        <w:t>202</w:t>
      </w:r>
      <w:r>
        <w:rPr>
          <w:rFonts w:ascii="黑体" w:hAnsi="黑体" w:eastAsia="黑体" w:cs="宋体"/>
          <w:kern w:val="0"/>
          <w:sz w:val="28"/>
          <w:szCs w:val="28"/>
        </w:rPr>
        <w:t>1</w:t>
      </w:r>
      <w:r>
        <w:rPr>
          <w:rFonts w:hint="eastAsia" w:ascii="黑体" w:hAnsi="黑体" w:eastAsia="黑体" w:cs="宋体"/>
          <w:kern w:val="0"/>
          <w:sz w:val="28"/>
          <w:szCs w:val="28"/>
        </w:rPr>
        <w:t>-202</w:t>
      </w:r>
      <w:r>
        <w:rPr>
          <w:rFonts w:ascii="黑体" w:hAnsi="黑体" w:eastAsia="黑体" w:cs="宋体"/>
          <w:kern w:val="0"/>
          <w:sz w:val="28"/>
          <w:szCs w:val="28"/>
        </w:rPr>
        <w:t>2</w:t>
      </w:r>
      <w:r>
        <w:rPr>
          <w:rFonts w:hint="eastAsia" w:ascii="黑体" w:hAnsi="黑体" w:eastAsia="黑体" w:cs="宋体"/>
          <w:kern w:val="0"/>
          <w:sz w:val="28"/>
          <w:szCs w:val="28"/>
        </w:rPr>
        <w:t>学年第二学期通识核心课程补考安排</w:t>
      </w:r>
    </w:p>
    <w:tbl>
      <w:tblPr>
        <w:tblStyle w:val="3"/>
        <w:tblpPr w:leftFromText="180" w:rightFromText="180" w:vertAnchor="text" w:horzAnchor="page" w:tblpX="533" w:tblpY="59"/>
        <w:tblOverlap w:val="never"/>
        <w:tblW w:w="10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424"/>
        <w:gridCol w:w="4246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142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424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开课学院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8" w:type="dxa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5月5日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（第1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周周四）</w:t>
            </w:r>
          </w:p>
        </w:tc>
        <w:tc>
          <w:tcPr>
            <w:tcW w:w="1424" w:type="dxa"/>
            <w:tcBorders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kern w:val="0"/>
                <w:szCs w:val="21"/>
              </w:rPr>
              <w:t>00</w:t>
            </w:r>
          </w:p>
        </w:tc>
        <w:tc>
          <w:tcPr>
            <w:tcW w:w="4246" w:type="dxa"/>
            <w:tcBorders>
              <w:top w:val="single" w:color="auto" w:sz="8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中国近现代史纲要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A130001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28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（第1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周周五）</w:t>
            </w:r>
          </w:p>
        </w:tc>
        <w:tc>
          <w:tcPr>
            <w:tcW w:w="1424" w:type="dxa"/>
            <w:vMerge w:val="restart"/>
            <w:tcBorders>
              <w:top w:val="doub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kern w:val="0"/>
                <w:szCs w:val="21"/>
              </w:rPr>
              <w:t>00</w:t>
            </w:r>
          </w:p>
        </w:tc>
        <w:tc>
          <w:tcPr>
            <w:tcW w:w="424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形势与政策1</w:t>
            </w:r>
          </w:p>
        </w:tc>
        <w:tc>
          <w:tcPr>
            <w:tcW w:w="127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A130005</w:t>
            </w: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形势与政策2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A130006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形势与政策3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111242</w:t>
            </w:r>
            <w:r>
              <w:rPr>
                <w:rFonts w:ascii="宋体" w:hAnsi="宋体" w:eastAsia="宋体" w:cs="宋体"/>
                <w:kern w:val="0"/>
                <w:szCs w:val="21"/>
              </w:rPr>
              <w:t>_0.5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28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形势与政策4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111243</w:t>
            </w:r>
            <w:r>
              <w:rPr>
                <w:rFonts w:ascii="宋体" w:hAnsi="宋体" w:eastAsia="宋体" w:cs="宋体"/>
                <w:kern w:val="0"/>
                <w:szCs w:val="21"/>
              </w:rPr>
              <w:t>_0.5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828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（第1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周周六）</w:t>
            </w:r>
          </w:p>
        </w:tc>
        <w:tc>
          <w:tcPr>
            <w:tcW w:w="1424" w:type="dxa"/>
            <w:vMerge w:val="restart"/>
            <w:tcBorders>
              <w:top w:val="doub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9:30-11:30</w:t>
            </w:r>
          </w:p>
        </w:tc>
        <w:tc>
          <w:tcPr>
            <w:tcW w:w="424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大学物理A2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A110021</w:t>
            </w: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828" w:type="dxa"/>
            <w:vMerge w:val="continue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大学物理</w:t>
            </w:r>
            <w:r>
              <w:rPr>
                <w:rFonts w:ascii="宋体" w:hAnsi="宋体" w:eastAsia="宋体" w:cs="宋体"/>
                <w:kern w:val="0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A110023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28" w:type="dxa"/>
            <w:vMerge w:val="continue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13:00-15:00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工程制图Ⅰ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A110037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A180033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828" w:type="dxa"/>
            <w:vMerge w:val="continue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工程制图Ⅱ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A110038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A180032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28" w:type="dxa"/>
            <w:vMerge w:val="continue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工程制图基础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A110036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A180025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28" w:type="dxa"/>
            <w:vMerge w:val="continue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15:20-17:20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A130002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28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复变函数与积分变换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A110014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28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（第1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周周日）</w:t>
            </w:r>
          </w:p>
        </w:tc>
        <w:tc>
          <w:tcPr>
            <w:tcW w:w="1424" w:type="dxa"/>
            <w:vMerge w:val="restart"/>
            <w:tcBorders>
              <w:top w:val="doub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9:30-11:30</w:t>
            </w:r>
          </w:p>
        </w:tc>
        <w:tc>
          <w:tcPr>
            <w:tcW w:w="424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无机化学</w:t>
            </w:r>
          </w:p>
        </w:tc>
        <w:tc>
          <w:tcPr>
            <w:tcW w:w="127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A160003</w:t>
            </w: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化学与化工学院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2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材料力学Ⅰ（土木类）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A110028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A181045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2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材料力学Ⅱ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（机械类）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110146_2.5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2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建筑力学Ⅰ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2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13:00-15:00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思想道德与法治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A130016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A180042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2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物理化学B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A160008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化学与化工学院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28" w:type="dxa"/>
            <w:vMerge w:val="continue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tcBorders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15:20-17:20</w:t>
            </w:r>
          </w:p>
        </w:tc>
        <w:tc>
          <w:tcPr>
            <w:tcW w:w="4246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马克思主义基本原理</w:t>
            </w:r>
          </w:p>
        </w:tc>
        <w:tc>
          <w:tcPr>
            <w:tcW w:w="1276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A130003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A180017</w:t>
            </w:r>
          </w:p>
        </w:tc>
        <w:tc>
          <w:tcPr>
            <w:tcW w:w="1701" w:type="dxa"/>
            <w:tcBorders>
              <w:top w:val="nil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828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（第1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周周六）</w:t>
            </w:r>
          </w:p>
        </w:tc>
        <w:tc>
          <w:tcPr>
            <w:tcW w:w="1424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9:30-11:30</w:t>
            </w:r>
          </w:p>
        </w:tc>
        <w:tc>
          <w:tcPr>
            <w:tcW w:w="424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大学英语1</w:t>
            </w:r>
          </w:p>
        </w:tc>
        <w:tc>
          <w:tcPr>
            <w:tcW w:w="127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A120001</w:t>
            </w: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大学英语1（艺体类）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A120009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13:00-15:00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A120003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高级视听说（非英语专业拓展）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A120005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英美文化概况（非英语专业拓展）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A120006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时事英语阅读（非英语专业拓展）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A120007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高级英语综合训练（非英语专业拓展）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A120008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15:20-17:20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工程力学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A110035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28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理论力学Ⅱ1(机械类)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A110026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28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（第1</w:t>
            </w: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周周日）</w:t>
            </w:r>
          </w:p>
        </w:tc>
        <w:tc>
          <w:tcPr>
            <w:tcW w:w="1424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9:30-11:30</w:t>
            </w:r>
          </w:p>
        </w:tc>
        <w:tc>
          <w:tcPr>
            <w:tcW w:w="424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高等数学Ⅰ-A1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A110001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A180020</w:t>
            </w: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高等数学Ⅰ-B1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高等数学Ⅱ1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高等数学Ⅲ1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A110007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高等数学Ⅳ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A110009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13:00-15:00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8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15:20-17:20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概率论与数理统计A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A110012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A180024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概率论与数理统计B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A110013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理学院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A2878"/>
    <w:rsid w:val="0E8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2022-04-21T09:59:00Z</dcterms:created>
  <dc:creator>教务处</dc:creator>
  <cp:lastModifiedBy>教务处</cp:lastModifiedBy>
  <dcterms:modified xsi:type="dcterms:W3CDTF">2022-04-21T09:59:54Z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14A592E53B20468886191F8FC45FFA2D</vt:lpwstr>
  </property>
</Properties>
</file>