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pPr w:leftFromText="180" w:rightFromText="180" w:vertAnchor="page" w:horzAnchor="page" w:tblpX="1512" w:tblpY="4051"/>
        <w:tblOverlap w:val="never"/>
        <w:tblW w:w="9136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5"/>
        <w:gridCol w:w="1621"/>
        <w:gridCol w:w="750"/>
        <w:gridCol w:w="1620"/>
        <w:gridCol w:w="1815"/>
        <w:gridCol w:w="1516"/>
        <w:gridCol w:w="83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75" w:type="dxa"/>
            <w:tcBorders>
              <w:bottom w:val="single" w:color="auto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 w:val="18"/>
                <w:szCs w:val="18"/>
              </w:rPr>
              <w:t>选课轮次</w:t>
            </w:r>
          </w:p>
        </w:tc>
        <w:tc>
          <w:tcPr>
            <w:tcW w:w="2371" w:type="dxa"/>
            <w:gridSpan w:val="2"/>
            <w:tcBorders>
              <w:bottom w:val="single" w:color="auto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 w:val="18"/>
                <w:szCs w:val="18"/>
              </w:rPr>
              <w:t>开始时间</w:t>
            </w:r>
          </w:p>
        </w:tc>
        <w:tc>
          <w:tcPr>
            <w:tcW w:w="1620" w:type="dxa"/>
            <w:tcBorders>
              <w:bottom w:val="single" w:color="auto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 w:val="18"/>
                <w:szCs w:val="18"/>
              </w:rPr>
              <w:t>结束时间</w:t>
            </w:r>
          </w:p>
        </w:tc>
        <w:tc>
          <w:tcPr>
            <w:tcW w:w="1815" w:type="dxa"/>
            <w:tcBorders>
              <w:bottom w:val="single" w:color="auto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 w:val="18"/>
                <w:szCs w:val="18"/>
              </w:rPr>
              <w:t>选课学生</w:t>
            </w:r>
          </w:p>
        </w:tc>
        <w:tc>
          <w:tcPr>
            <w:tcW w:w="1516" w:type="dxa"/>
            <w:tcBorders>
              <w:bottom w:val="single" w:color="auto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 w:val="18"/>
                <w:szCs w:val="18"/>
              </w:rPr>
              <w:t>选课内容</w:t>
            </w:r>
          </w:p>
        </w:tc>
        <w:tc>
          <w:tcPr>
            <w:tcW w:w="839" w:type="dxa"/>
            <w:tcBorders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sz w:val="18"/>
                <w:szCs w:val="18"/>
              </w:rPr>
              <w:t>选课原则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975" w:type="dxa"/>
            <w:vMerge w:val="restart"/>
            <w:tcBorders>
              <w:top w:val="single" w:color="auto" w:sz="12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18"/>
                <w:szCs w:val="18"/>
              </w:rPr>
              <w:t>第一轮</w:t>
            </w:r>
          </w:p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18"/>
                <w:szCs w:val="18"/>
              </w:rPr>
              <w:t>（正选期）</w:t>
            </w:r>
          </w:p>
        </w:tc>
        <w:tc>
          <w:tcPr>
            <w:tcW w:w="2371" w:type="dxa"/>
            <w:gridSpan w:val="2"/>
            <w:tcBorders>
              <w:top w:val="single" w:color="auto" w:sz="12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12月1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val="en-US" w:eastAsia="zh-CN"/>
              </w:rPr>
              <w:t>7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日</w:t>
            </w:r>
          </w:p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（1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周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eastAsia="zh-CN"/>
              </w:rPr>
              <w:t>一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）1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:30</w:t>
            </w:r>
          </w:p>
        </w:tc>
        <w:tc>
          <w:tcPr>
            <w:tcW w:w="1620" w:type="dxa"/>
            <w:vMerge w:val="restart"/>
            <w:tcBorders>
              <w:top w:val="single" w:color="auto" w:sz="12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12月24日</w:t>
            </w:r>
          </w:p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（17周一）12:30</w:t>
            </w:r>
          </w:p>
        </w:tc>
        <w:tc>
          <w:tcPr>
            <w:tcW w:w="1815" w:type="dxa"/>
            <w:tcBorders>
              <w:top w:val="single" w:color="auto" w:sz="12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辅修报名学生</w:t>
            </w:r>
          </w:p>
        </w:tc>
        <w:tc>
          <w:tcPr>
            <w:tcW w:w="1516" w:type="dxa"/>
            <w:tcBorders>
              <w:top w:val="single" w:color="auto" w:sz="12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辅修课程</w:t>
            </w:r>
          </w:p>
        </w:tc>
        <w:tc>
          <w:tcPr>
            <w:tcW w:w="839" w:type="dxa"/>
            <w:vMerge w:val="restart"/>
            <w:tcBorders>
              <w:top w:val="single" w:color="auto" w:sz="1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18"/>
                <w:szCs w:val="18"/>
              </w:rPr>
              <w:t>可选可退，</w:t>
            </w:r>
          </w:p>
          <w:p>
            <w:pPr>
              <w:widowControl/>
              <w:jc w:val="center"/>
              <w:rPr>
                <w:rFonts w:hint="eastAsia"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18"/>
                <w:szCs w:val="18"/>
              </w:rPr>
              <w:t>先到先得</w:t>
            </w: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97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1621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12月1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val="en-US" w:eastAsia="zh-CN"/>
              </w:rPr>
              <w:t>8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日</w:t>
            </w:r>
          </w:p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（16周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eastAsia="zh-CN"/>
              </w:rPr>
              <w:t>二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val="en-US" w:eastAsia="zh-CN"/>
              </w:rPr>
              <w:t>9:30</w:t>
            </w:r>
          </w:p>
        </w:tc>
        <w:tc>
          <w:tcPr>
            <w:tcW w:w="162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val="en-US" w:eastAsia="zh-CN"/>
              </w:rPr>
              <w:t>2016级</w:t>
            </w:r>
          </w:p>
        </w:tc>
        <w:tc>
          <w:tcPr>
            <w:tcW w:w="151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挂牌上课课程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eastAsia="zh-CN"/>
              </w:rPr>
              <w:t>、</w:t>
            </w:r>
          </w:p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eastAsia="zh-CN"/>
              </w:rPr>
              <w:t>体育教学项目、</w:t>
            </w:r>
          </w:p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选修课程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eastAsia="zh-CN"/>
              </w:rPr>
              <w:t>、</w:t>
            </w:r>
          </w:p>
          <w:p>
            <w:pPr>
              <w:widowControl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eastAsia="zh-CN"/>
              </w:rPr>
              <w:t>实验预约（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val="en-US" w:eastAsia="zh-CN"/>
              </w:rPr>
              <w:t>需预约的专业见备注3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839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97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1621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12:30</w:t>
            </w:r>
          </w:p>
        </w:tc>
        <w:tc>
          <w:tcPr>
            <w:tcW w:w="162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201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val="en-US" w:eastAsia="zh-CN"/>
              </w:rPr>
              <w:t>7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级建筑、艺术、</w:t>
            </w:r>
          </w:p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体育、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eastAsia="zh-CN"/>
              </w:rPr>
              <w:t>安德、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文学院</w:t>
            </w:r>
          </w:p>
        </w:tc>
        <w:tc>
          <w:tcPr>
            <w:tcW w:w="151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9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97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1621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:30</w:t>
            </w:r>
          </w:p>
        </w:tc>
        <w:tc>
          <w:tcPr>
            <w:tcW w:w="162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2017级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eastAsia="zh-CN"/>
              </w:rPr>
              <w:t>其他学院</w:t>
            </w:r>
          </w:p>
        </w:tc>
        <w:tc>
          <w:tcPr>
            <w:tcW w:w="151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839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97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1621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12月1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val="en-US" w:eastAsia="zh-CN"/>
              </w:rPr>
              <w:t>9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日</w:t>
            </w:r>
          </w:p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（16周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eastAsia="zh-CN"/>
              </w:rPr>
              <w:t>三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12:30</w:t>
            </w:r>
          </w:p>
        </w:tc>
        <w:tc>
          <w:tcPr>
            <w:tcW w:w="162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2018级建筑、艺术、</w:t>
            </w:r>
          </w:p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体育、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eastAsia="zh-CN"/>
              </w:rPr>
              <w:t>安德、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文学院</w:t>
            </w:r>
          </w:p>
        </w:tc>
        <w:tc>
          <w:tcPr>
            <w:tcW w:w="151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839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97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1621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:30</w:t>
            </w:r>
          </w:p>
        </w:tc>
        <w:tc>
          <w:tcPr>
            <w:tcW w:w="162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2018级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eastAsia="zh-CN"/>
              </w:rPr>
              <w:t>其他学院</w:t>
            </w:r>
          </w:p>
        </w:tc>
        <w:tc>
          <w:tcPr>
            <w:tcW w:w="151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839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97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7322" w:type="dxa"/>
            <w:gridSpan w:val="5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val="en-US" w:eastAsia="zh-CN"/>
              </w:rPr>
              <w:t>17-18周各学院根据选课结果进行课表编排，</w:t>
            </w:r>
          </w:p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val="en-US" w:eastAsia="zh-CN"/>
              </w:rPr>
              <w:t>小于20人的教学班将征求学院意见后停开，不予排课。</w:t>
            </w:r>
          </w:p>
        </w:tc>
        <w:tc>
          <w:tcPr>
            <w:tcW w:w="839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97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1621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2019年1月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val="en-US" w:eastAsia="zh-CN"/>
              </w:rPr>
              <w:t>7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日</w:t>
            </w:r>
          </w:p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（19周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eastAsia="zh-CN"/>
              </w:rPr>
              <w:t>一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12:30</w:t>
            </w:r>
          </w:p>
        </w:tc>
        <w:tc>
          <w:tcPr>
            <w:tcW w:w="1620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2019年1月1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日</w:t>
            </w:r>
          </w:p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（20周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eastAsia="zh-CN"/>
              </w:rPr>
              <w:t>一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）12:30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草堂在校生</w:t>
            </w:r>
          </w:p>
        </w:tc>
        <w:tc>
          <w:tcPr>
            <w:tcW w:w="151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通识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eastAsia="zh-CN"/>
              </w:rPr>
              <w:t>拓展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课程</w:t>
            </w:r>
          </w:p>
        </w:tc>
        <w:tc>
          <w:tcPr>
            <w:tcW w:w="839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97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1621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:30</w:t>
            </w:r>
          </w:p>
        </w:tc>
        <w:tc>
          <w:tcPr>
            <w:tcW w:w="162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雁塔在校生</w:t>
            </w:r>
          </w:p>
        </w:tc>
        <w:tc>
          <w:tcPr>
            <w:tcW w:w="151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839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97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2371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2019年1月14日</w:t>
            </w:r>
          </w:p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（20周一）12:30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2019年1月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val="en-US" w:eastAsia="zh-CN"/>
              </w:rPr>
              <w:t>18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日</w:t>
            </w:r>
          </w:p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（2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周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eastAsia="zh-CN"/>
              </w:rPr>
              <w:t>五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）12:30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有不及格课程</w:t>
            </w:r>
          </w:p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需重修学生</w:t>
            </w:r>
          </w:p>
        </w:tc>
        <w:tc>
          <w:tcPr>
            <w:tcW w:w="151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跟班重修课程</w:t>
            </w:r>
          </w:p>
        </w:tc>
        <w:tc>
          <w:tcPr>
            <w:tcW w:w="839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第二轮     （微调期）</w:t>
            </w:r>
          </w:p>
        </w:tc>
        <w:tc>
          <w:tcPr>
            <w:tcW w:w="2371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2019年3月4日</w:t>
            </w:r>
          </w:p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（下学期1周一）8:30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2019年3月11日</w:t>
            </w:r>
          </w:p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（2周一）12:30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全体在校生</w:t>
            </w:r>
          </w:p>
        </w:tc>
        <w:tc>
          <w:tcPr>
            <w:tcW w:w="151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18"/>
                <w:szCs w:val="18"/>
              </w:rPr>
              <w:t>个别课程退选补选（除辅修）</w:t>
            </w:r>
          </w:p>
        </w:tc>
        <w:tc>
          <w:tcPr>
            <w:tcW w:w="839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9136" w:type="dxa"/>
            <w:gridSpan w:val="7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eastAsia="zh-CN"/>
              </w:rPr>
              <w:t>备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注：</w:t>
            </w:r>
          </w:p>
          <w:p>
            <w:pPr>
              <w:spacing w:line="240" w:lineRule="auto"/>
              <w:ind w:firstLine="361" w:firstLineChars="200"/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.全校挂牌上课课程：</w:t>
            </w:r>
          </w:p>
          <w:p>
            <w:pPr>
              <w:spacing w:line="240" w:lineRule="auto"/>
              <w:jc w:val="left"/>
              <w:rPr>
                <w:rFonts w:asciiTheme="minorEastAsia" w:hAnsi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 xml:space="preserve">   </w:t>
            </w:r>
            <w:r>
              <w:rPr>
                <w:rFonts w:hint="eastAsia" w:asciiTheme="minorEastAsia" w:hAnsiTheme="minorEastAsia"/>
                <w:bCs/>
                <w:sz w:val="18"/>
                <w:szCs w:val="18"/>
              </w:rPr>
              <w:t xml:space="preserve"> 2016级：形势与政策4（必修）</w:t>
            </w:r>
          </w:p>
          <w:p>
            <w:pPr>
              <w:spacing w:line="240" w:lineRule="auto"/>
              <w:ind w:firstLine="360" w:firstLineChars="20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2017级：材料力学Ⅰ（必修）、材料力学Ⅱ1（机械类）（必修）、理论力学Ⅱ2（机械类）（必修）、物理化学B（必修）、工程力学（必修/选修）、复变函数与积分变换（必修/选修）、计算方法（选修）、数学物理方程（选修）、运筹学（必修/选修）、分析化学（必修/选修）、大学英语4+大学英语拓展课2、马克思主义基本原理（必修）、毛泽东思想和中国特色社会主义理论体系概论（必修）、电工电子技术（必修/选修）、大学体育4（必修）。</w:t>
            </w:r>
          </w:p>
          <w:p>
            <w:pPr>
              <w:spacing w:line="240" w:lineRule="auto"/>
              <w:ind w:firstLine="360" w:firstLineChars="20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2018级:高等数学Ⅰ2（必修）、概率论与数理统计（选修）、大学物理1（必修）、无机化学Ⅰ2（必修/选修）、土木工程制图（必修/选修）、机械制图I（必修）、机械制图Ⅱ（必修/选修）、机械测绘（必修）、建筑透视与阴影2（选修）、大学英语2（必修）、思想道德修养与法律基础（必修）、中国近现代史纲要（必修）、大学体育2（必修）。</w:t>
            </w:r>
          </w:p>
          <w:p>
            <w:pPr>
              <w:numPr>
                <w:ilvl w:val="0"/>
                <w:numId w:val="0"/>
              </w:numPr>
              <w:spacing w:line="240" w:lineRule="auto"/>
              <w:ind w:firstLine="361" w:firstLineChars="200"/>
              <w:jc w:val="left"/>
              <w:textAlignment w:val="center"/>
              <w:rPr>
                <w:rFonts w:hint="eastAsia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各学院挂牌上课课程：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以各学院通知为准。</w:t>
            </w:r>
          </w:p>
          <w:p>
            <w:pPr>
              <w:spacing w:line="240" w:lineRule="auto"/>
              <w:ind w:firstLine="361" w:firstLineChars="200"/>
              <w:jc w:val="left"/>
              <w:rPr>
                <w:rFonts w:hint="eastAsia" w:asciiTheme="minorEastAsia" w:hAnsi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sz w:val="18"/>
                <w:szCs w:val="18"/>
                <w:lang w:val="en-US" w:eastAsia="zh-CN"/>
              </w:rPr>
              <w:t>3.</w:t>
            </w:r>
            <w:r>
              <w:rPr>
                <w:rFonts w:hint="eastAsia" w:asciiTheme="minorEastAsia" w:hAnsiTheme="minorEastAsia"/>
                <w:b/>
                <w:bCs/>
                <w:sz w:val="18"/>
                <w:szCs w:val="18"/>
                <w:lang w:val="en-US" w:eastAsia="zh-CN"/>
              </w:rPr>
              <w:t>2018级需网上预约《</w:t>
            </w:r>
            <w:r>
              <w:rPr>
                <w:rFonts w:hint="eastAsia" w:asciiTheme="minorEastAsia" w:hAnsiTheme="minorEastAsia"/>
                <w:b/>
                <w:bCs/>
                <w:sz w:val="18"/>
                <w:szCs w:val="18"/>
                <w:lang w:eastAsia="zh-CN"/>
              </w:rPr>
              <w:t>无机化学实验</w:t>
            </w:r>
            <w:r>
              <w:rPr>
                <w:rFonts w:hint="eastAsia" w:asciiTheme="minorEastAsia" w:hAnsiTheme="minorEastAsia"/>
                <w:b/>
                <w:bCs/>
                <w:sz w:val="18"/>
                <w:szCs w:val="18"/>
                <w:lang w:val="en-US" w:eastAsia="zh-CN"/>
              </w:rPr>
              <w:t>2》的专业</w:t>
            </w:r>
            <w:r>
              <w:rPr>
                <w:rFonts w:hint="eastAsia" w:asciiTheme="minorEastAsia" w:hAnsiTheme="minorEastAsia"/>
                <w:sz w:val="18"/>
                <w:szCs w:val="18"/>
                <w:lang w:val="en-US" w:eastAsia="zh-CN"/>
              </w:rPr>
              <w:t>：环境学院环科、环工（卓越工程师）专业，资源工程学院矿加专业，冶金学院冶金、冶金（卓越工程师）、新能源专业，材料学院、化学与化工学院所有专业。</w:t>
            </w:r>
          </w:p>
          <w:p>
            <w:pPr>
              <w:numPr>
                <w:ilvl w:val="0"/>
                <w:numId w:val="0"/>
              </w:numPr>
              <w:spacing w:line="240" w:lineRule="auto"/>
              <w:ind w:firstLine="360" w:firstLineChars="200"/>
              <w:jc w:val="left"/>
              <w:textAlignment w:val="center"/>
              <w:rPr>
                <w:rFonts w:hint="eastAsia" w:asciiTheme="minorEastAsia" w:hAnsiTheme="minorEastAsia" w:cs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18"/>
                <w:szCs w:val="18"/>
                <w:lang w:val="en-US" w:eastAsia="zh-CN"/>
              </w:rPr>
              <w:t>4.2015级（建筑学院2014级）毕业班学生不参与本学期网上选课。</w:t>
            </w:r>
          </w:p>
          <w:p>
            <w:pPr>
              <w:numPr>
                <w:ilvl w:val="0"/>
                <w:numId w:val="0"/>
              </w:numPr>
              <w:spacing w:line="240" w:lineRule="auto"/>
              <w:ind w:firstLine="360" w:firstLineChars="200"/>
              <w:jc w:val="left"/>
              <w:textAlignment w:val="center"/>
              <w:rPr>
                <w:rFonts w:hint="eastAsia" w:asciiTheme="minorEastAsia" w:hAnsiTheme="minorEastAsia" w:cs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18"/>
                <w:szCs w:val="18"/>
                <w:lang w:val="en-US" w:eastAsia="zh-CN"/>
              </w:rPr>
              <w:t>5.网络通识拓展课程网上报名及选课安排在下学期开学初第4周左右。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jc w:val="left"/>
        <w:textAlignment w:val="auto"/>
        <w:rPr>
          <w:rFonts w:ascii="Calibri" w:hAnsi="Calibri" w:eastAsia="宋体" w:cs="Times New Roman"/>
          <w:b/>
          <w:bCs/>
          <w:snapToGrid w:val="0"/>
          <w:kern w:val="0"/>
          <w:sz w:val="24"/>
          <w:szCs w:val="24"/>
          <w:u w:val="none"/>
          <w:lang w:val="en-US" w:eastAsia="zh-CN" w:bidi="ar"/>
        </w:rPr>
      </w:pPr>
      <w:r>
        <w:rPr>
          <w:rFonts w:ascii="Calibri" w:hAnsi="Calibri" w:eastAsia="宋体" w:cs="Times New Roman"/>
          <w:b/>
          <w:bCs/>
          <w:snapToGrid w:val="0"/>
          <w:kern w:val="0"/>
          <w:sz w:val="24"/>
          <w:szCs w:val="24"/>
          <w:u w:val="none"/>
          <w:lang w:val="en-US" w:eastAsia="zh-CN" w:bidi="ar"/>
        </w:rPr>
        <w:fldChar w:fldCharType="begin"/>
      </w:r>
      <w:r>
        <w:rPr>
          <w:rFonts w:ascii="Calibri" w:hAnsi="Calibri" w:eastAsia="宋体" w:cs="Times New Roman"/>
          <w:b/>
          <w:bCs/>
          <w:snapToGrid w:val="0"/>
          <w:kern w:val="0"/>
          <w:sz w:val="24"/>
          <w:szCs w:val="24"/>
          <w:u w:val="none"/>
          <w:lang w:val="en-US" w:eastAsia="zh-CN" w:bidi="ar"/>
        </w:rPr>
        <w:instrText xml:space="preserve"> HYPERLINK "http://jwc.xauat.edu.cn/uploadfile/2017/1208/20171208115802518.docx" </w:instrText>
      </w:r>
      <w:r>
        <w:rPr>
          <w:rFonts w:ascii="Calibri" w:hAnsi="Calibri" w:eastAsia="宋体" w:cs="Times New Roman"/>
          <w:b/>
          <w:bCs/>
          <w:snapToGrid w:val="0"/>
          <w:kern w:val="0"/>
          <w:sz w:val="24"/>
          <w:szCs w:val="24"/>
          <w:u w:val="none"/>
          <w:lang w:val="en-US" w:eastAsia="zh-CN" w:bidi="ar"/>
        </w:rPr>
        <w:fldChar w:fldCharType="separate"/>
      </w:r>
      <w:r>
        <w:rPr>
          <w:rStyle w:val="6"/>
          <w:rFonts w:hint="eastAsia" w:ascii="仿宋_GB2312" w:hAnsi="Times New Roman" w:eastAsia="仿宋_GB2312" w:cs="仿宋_GB2312"/>
          <w:b/>
          <w:bCs/>
          <w:color w:val="auto"/>
          <w:kern w:val="2"/>
          <w:sz w:val="32"/>
          <w:szCs w:val="32"/>
          <w:u w:val="none"/>
        </w:rPr>
        <w:t>附件：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</w:rPr>
        <w:t>2018-2019学年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  <w:lang w:eastAsia="zh-CN"/>
        </w:rPr>
        <w:t>第二学期（春夏学期）本科生修读课程</w:t>
      </w:r>
      <w:r>
        <w:rPr>
          <w:rFonts w:hint="eastAsia" w:ascii="仿宋_GB2312" w:hAnsi="宋体" w:eastAsia="仿宋_GB2312" w:cs="仿宋_GB2312"/>
          <w:b/>
          <w:bCs/>
          <w:kern w:val="2"/>
          <w:sz w:val="32"/>
          <w:szCs w:val="32"/>
          <w:u w:val="none"/>
          <w:lang w:val="en-US" w:eastAsia="zh-CN" w:bidi="ar"/>
        </w:rPr>
        <w:t>网上选课时间、注意事项等</w:t>
      </w:r>
      <w:r>
        <w:rPr>
          <w:rFonts w:ascii="Calibri" w:hAnsi="Calibri" w:eastAsia="宋体" w:cs="Times New Roman"/>
          <w:b/>
          <w:bCs/>
          <w:snapToGrid w:val="0"/>
          <w:kern w:val="0"/>
          <w:sz w:val="24"/>
          <w:szCs w:val="24"/>
          <w:u w:val="none"/>
          <w:lang w:val="en-US" w:eastAsia="zh-CN" w:bidi="ar"/>
        </w:rPr>
        <w:fldChar w:fldCharType="end"/>
      </w:r>
    </w:p>
    <w:p>
      <w:pPr>
        <w:ind w:left="482" w:hanging="482" w:hangingChars="200"/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ascii="Calibri" w:hAnsi="Calibri" w:eastAsia="宋体" w:cs="Times New Roman"/>
          <w:b/>
          <w:bCs/>
          <w:snapToGrid w:val="0"/>
          <w:kern w:val="0"/>
          <w:sz w:val="24"/>
          <w:szCs w:val="24"/>
          <w:u w:val="none"/>
          <w:lang w:val="en-US" w:eastAsia="zh-CN" w:bidi="ar"/>
        </w:rPr>
        <w:br w:type="textWrapping"/>
      </w: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  <w:u w:val="none"/>
          <w:lang w:val="en-US" w:eastAsia="zh-CN" w:bidi="ar"/>
        </w:rPr>
        <w:t>一、选课时间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2018-2019学年</w:t>
      </w:r>
      <w:r>
        <w:rPr>
          <w:rFonts w:hint="eastAsia" w:asciiTheme="minorEastAsia" w:hAnsiTheme="minorEastAsia" w:cstheme="minorEastAsia"/>
          <w:b/>
          <w:bCs/>
          <w:sz w:val="21"/>
          <w:szCs w:val="21"/>
          <w:lang w:eastAsia="zh-CN"/>
        </w:rPr>
        <w:t>第二学期（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春夏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学期</w:t>
      </w:r>
      <w:r>
        <w:rPr>
          <w:rFonts w:hint="eastAsia" w:asciiTheme="minorEastAsia" w:hAnsiTheme="minorEastAsia" w:cstheme="minorEastAsia"/>
          <w:b/>
          <w:bCs/>
          <w:sz w:val="21"/>
          <w:szCs w:val="21"/>
          <w:lang w:eastAsia="zh-CN"/>
        </w:rPr>
        <w:t>）本科生修读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课程</w:t>
      </w:r>
      <w:r>
        <w:rPr>
          <w:rFonts w:hint="eastAsia" w:asciiTheme="minorEastAsia" w:hAnsiTheme="minorEastAsia" w:cstheme="minorEastAsia"/>
          <w:b/>
          <w:bCs/>
          <w:sz w:val="21"/>
          <w:szCs w:val="21"/>
          <w:lang w:eastAsia="zh-CN"/>
        </w:rPr>
        <w:t>网上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选课时间安排表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firstLine="643" w:firstLineChars="200"/>
        <w:jc w:val="left"/>
        <w:textAlignment w:val="auto"/>
        <w:rPr>
          <w:rStyle w:val="5"/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Style w:val="5"/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二</w:t>
      </w:r>
      <w:r>
        <w:rPr>
          <w:rStyle w:val="5"/>
          <w:rFonts w:hint="eastAsia" w:ascii="仿宋_GB2312" w:hAnsi="仿宋_GB2312" w:eastAsia="仿宋_GB2312" w:cs="仿宋_GB2312"/>
          <w:kern w:val="0"/>
          <w:sz w:val="32"/>
          <w:szCs w:val="32"/>
        </w:rPr>
        <w:t>、</w:t>
      </w:r>
      <w:r>
        <w:rPr>
          <w:rStyle w:val="5"/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lef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Style w:val="5"/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  <w:t>1.</w:t>
      </w:r>
      <w:r>
        <w:rPr>
          <w:rStyle w:val="5"/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缴费注册</w:t>
      </w:r>
      <w:r>
        <w:rPr>
          <w:rStyle w:val="5"/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  <w:t>：</w:t>
      </w:r>
      <w:r>
        <w:rPr>
          <w:rStyle w:val="5"/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eastAsia="zh-CN"/>
        </w:rPr>
        <w:t>选课前须</w:t>
      </w:r>
      <w:r>
        <w:rPr>
          <w:rStyle w:val="5"/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  <w:t>确认个人缴费注册情况，不注册无法登录系统。缓缴学生可联系</w:t>
      </w:r>
      <w:r>
        <w:rPr>
          <w:rStyle w:val="5"/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u w:val="none"/>
        </w:rPr>
        <w:t>学生处奖贷助学科</w:t>
      </w:r>
      <w:r>
        <w:rPr>
          <w:rStyle w:val="5"/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  <w:t>开通绿色通道。高水平运动员、退伍学生可由管理单位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统一办理绿色通道。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lef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Style w:val="5"/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>2.</w:t>
      </w:r>
      <w:r>
        <w:rPr>
          <w:rStyle w:val="5"/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/>
        </w:rPr>
        <w:t>选课软件</w:t>
      </w:r>
      <w:r>
        <w:rPr>
          <w:rStyle w:val="5"/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>：网上选课及课表核查等务必使用正方教务管理系统，选课网址为</w:t>
      </w:r>
      <w:r>
        <w:rPr>
          <w:rStyle w:val="5"/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u w:val="single"/>
          <w:lang w:val="en-US" w:eastAsia="zh-CN"/>
        </w:rPr>
        <w:t>Http://xk.xauat.edu.cn</w:t>
      </w:r>
      <w:r>
        <w:rPr>
          <w:rStyle w:val="5"/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u w:val="none"/>
          <w:lang w:val="en-US" w:eastAsia="zh-CN"/>
        </w:rPr>
        <w:t>，</w:t>
      </w:r>
      <w:r>
        <w:rPr>
          <w:rStyle w:val="5"/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>切勿使用“超级课表”、“课程格子”等第三方软件。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leftChars="0" w:firstLine="640" w:firstLineChars="200"/>
        <w:jc w:val="left"/>
        <w:textAlignment w:val="auto"/>
        <w:rPr>
          <w:rStyle w:val="5"/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</w:pPr>
      <w:r>
        <w:rPr>
          <w:rStyle w:val="5"/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>3</w:t>
      </w:r>
      <w:r>
        <w:rPr>
          <w:rStyle w:val="5"/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  <w:t>.</w:t>
      </w:r>
      <w:r>
        <w:rPr>
          <w:rStyle w:val="5"/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不正确选课</w:t>
      </w:r>
      <w:r>
        <w:rPr>
          <w:rStyle w:val="5"/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  <w:t>：未选课将造成学生名字在教师点名册中不出现，无考场座位，成绩无法录入，无法取得相应课程学分等；已选课程无故旷课旷考成绩将记“0”分。重复修读同一门课程学分仅认定一次。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leftChars="0" w:firstLine="640" w:firstLineChars="200"/>
        <w:jc w:val="left"/>
        <w:textAlignment w:val="auto"/>
        <w:rPr>
          <w:rStyle w:val="5"/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</w:pPr>
      <w:r>
        <w:rPr>
          <w:rStyle w:val="5"/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4</w:t>
      </w:r>
      <w:r>
        <w:rPr>
          <w:rStyle w:val="5"/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</w:rPr>
        <w:t>.</w:t>
      </w:r>
      <w:r>
        <w:rPr>
          <w:rStyle w:val="5"/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</w:rPr>
        <w:t>课程停开</w:t>
      </w:r>
      <w:r>
        <w:rPr>
          <w:rStyle w:val="5"/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  <w:t>：学校规定选课不足20人一般不予开课。选课结束征求</w:t>
      </w:r>
      <w:r>
        <w:rPr>
          <w:rStyle w:val="5"/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eastAsia="zh-CN"/>
        </w:rPr>
        <w:t>学院</w:t>
      </w:r>
      <w:r>
        <w:rPr>
          <w:rStyle w:val="5"/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  <w:t>意见后，学校将</w:t>
      </w:r>
      <w:r>
        <w:rPr>
          <w:rStyle w:val="5"/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eastAsia="zh-CN"/>
        </w:rPr>
        <w:t>在学期末或</w:t>
      </w:r>
      <w:r>
        <w:rPr>
          <w:rStyle w:val="5"/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  <w:t>下学期开学</w:t>
      </w:r>
      <w:r>
        <w:rPr>
          <w:rStyle w:val="5"/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eastAsia="zh-CN"/>
        </w:rPr>
        <w:t>初</w:t>
      </w:r>
      <w:r>
        <w:rPr>
          <w:rStyle w:val="5"/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  <w:t>公布停开教学班名单，具体停开课程以教务处网站通知为准。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leftChars="0" w:firstLine="640" w:firstLineChars="200"/>
        <w:jc w:val="left"/>
        <w:textAlignment w:val="auto"/>
        <w:rPr>
          <w:rStyle w:val="5"/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</w:pPr>
      <w:r>
        <w:rPr>
          <w:rStyle w:val="5"/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u w:val="none"/>
        </w:rPr>
        <w:t>挂牌上课课程停开</w:t>
      </w:r>
      <w:r>
        <w:rPr>
          <w:rStyle w:val="5"/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  <w:t>：学校统一将停开课程选课学生调整至同一时间其他教师开课教学班。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leftChars="0" w:firstLine="640" w:firstLineChars="200"/>
        <w:jc w:val="left"/>
        <w:textAlignment w:val="auto"/>
        <w:rPr>
          <w:rStyle w:val="5"/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u w:val="none"/>
        </w:rPr>
      </w:pPr>
      <w:r>
        <w:rPr>
          <w:rStyle w:val="5"/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u w:val="none"/>
        </w:rPr>
        <w:t>选修课程停开：停开课程选课学生可根据个人学业完成情况于开学初第4周内向所在</w:t>
      </w:r>
      <w:r>
        <w:rPr>
          <w:rStyle w:val="5"/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u w:val="none"/>
          <w:lang w:eastAsia="zh-CN"/>
        </w:rPr>
        <w:t>学院</w:t>
      </w:r>
      <w:r>
        <w:rPr>
          <w:rStyle w:val="5"/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u w:val="none"/>
        </w:rPr>
        <w:t>提交申请，更换至其他选修课程教学班学习。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leftChars="0" w:firstLine="640" w:firstLineChars="200"/>
        <w:jc w:val="left"/>
        <w:textAlignment w:val="auto"/>
        <w:rPr>
          <w:rStyle w:val="5"/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</w:pPr>
      <w:r>
        <w:rPr>
          <w:rStyle w:val="5"/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u w:val="none"/>
        </w:rPr>
        <w:t>通识拓展课程停开</w:t>
      </w:r>
      <w:r>
        <w:rPr>
          <w:rStyle w:val="5"/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  <w:t>：停开课程选课学生可根据个人学业完成情况于开学初第4周内向教务处（草堂校区216或雁塔校区212）提交书面申请，更换至其他通识拓展课程教学班学习。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leftChars="0" w:firstLine="643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各类课程选课说明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lef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1.必修课程、选修课程、通识课程（按课程性质）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zh-CN"/>
        </w:rPr>
        <w:t>必修课程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必须全部修读获得相应学分，</w:t>
      </w:r>
      <w:r>
        <w:rPr>
          <w:rFonts w:hint="eastAsia" w:ascii="仿宋_GB2312" w:hAnsi="仿宋_GB2312" w:eastAsia="仿宋_GB2312" w:cs="仿宋_GB2312"/>
          <w:sz w:val="32"/>
          <w:szCs w:val="32"/>
        </w:rPr>
        <w:t>系统默认选课。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zh-CN"/>
        </w:rPr>
        <w:t>教师挂牌上课课程和大学体育需要自行选课。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教师挂牌上课课程学生</w:t>
      </w:r>
      <w:bookmarkStart w:id="0" w:name="_GoBack"/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可以自主选择任课教师。大学体育课程学生可根据自己的兴趣爱好选择体育项目班。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2）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zh-CN"/>
        </w:rPr>
        <w:t>选修课程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要根据专业培养方案的要求，修够各模块相应的学分。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通识课程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必须在毕业前取得10学分（非艺术专业的同学还应至少包含一门艺术类通识学分），最高认定6个网络通识学分，且不得与计划内课程相同或相近。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2.其他课程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实验课程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  <w:t>2018级《</w:t>
      </w:r>
      <w:r>
        <w:rPr>
          <w:rFonts w:hint="eastAsia" w:ascii="仿宋_GB2312" w:hAnsi="宋体" w:eastAsia="仿宋_GB2312" w:cs="仿宋_GB2312"/>
          <w:sz w:val="32"/>
          <w:szCs w:val="32"/>
          <w:lang w:eastAsia="zh-CN"/>
        </w:rPr>
        <w:t>无机化学实验</w:t>
      </w:r>
      <w:r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  <w:t>2》</w:t>
      </w:r>
      <w:r>
        <w:rPr>
          <w:rFonts w:hint="eastAsia" w:ascii="仿宋_GB2312" w:hAnsi="宋体" w:eastAsia="仿宋_GB2312" w:cs="仿宋_GB2312"/>
          <w:sz w:val="32"/>
          <w:szCs w:val="32"/>
        </w:rPr>
        <w:t>下学期继续推行学生网上预约制，学生可根据课表空闲时间选择实验课程上课时间。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重修课程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lef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重修课程一般随低年级跟班重修，时间冲突也可办理免听。课程跨校区开设没法跟班时，期末可以参加自学重考。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lef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体育不及格学生须选择大学体育重修，体育学院将根据重修选课报名学生情况按校区分配项目。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lef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辅修课程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leftChars="0" w:firstLine="640" w:firstLineChars="200"/>
        <w:jc w:val="left"/>
        <w:textAlignment w:val="auto"/>
        <w:rPr>
          <w:rStyle w:val="5"/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</w:pPr>
      <w:r>
        <w:rPr>
          <w:rStyle w:val="5"/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  <w:t>辅修专业所选课程一般不得与所学专业相同。下学期各年级辅修专业开设课程明细将在教务处网站选课专栏公布</w:t>
      </w:r>
      <w:r>
        <w:rPr>
          <w:rStyle w:val="5"/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leftChars="0" w:firstLine="640" w:firstLineChars="200"/>
        <w:jc w:val="left"/>
        <w:textAlignment w:val="auto"/>
        <w:rPr>
          <w:rStyle w:val="5"/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</w:pPr>
      <w:r>
        <w:rPr>
          <w:rStyle w:val="5"/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  <w:t>选课结束后，学生应根据所选课程学分缴纳辅修费用，缴费具体安排另行通知。缴费成功即确定修读资格，选课但逾期未缴费的学生视为放弃修读。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Chars="0" w:firstLine="640" w:firstLineChars="200"/>
        <w:jc w:val="left"/>
        <w:textAlignment w:val="auto"/>
        <w:rPr>
          <w:rStyle w:val="5"/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both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99E09"/>
    <w:multiLevelType w:val="singleLevel"/>
    <w:tmpl w:val="40199E09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400D019B"/>
    <w:rsid w:val="000114BB"/>
    <w:rsid w:val="00080E73"/>
    <w:rsid w:val="001036CE"/>
    <w:rsid w:val="00202E77"/>
    <w:rsid w:val="002E3C8F"/>
    <w:rsid w:val="00405A9D"/>
    <w:rsid w:val="00487B36"/>
    <w:rsid w:val="00593561"/>
    <w:rsid w:val="005A13FC"/>
    <w:rsid w:val="005A4312"/>
    <w:rsid w:val="005E4991"/>
    <w:rsid w:val="005F5582"/>
    <w:rsid w:val="006C3BAC"/>
    <w:rsid w:val="006F7B89"/>
    <w:rsid w:val="00707D17"/>
    <w:rsid w:val="007B0765"/>
    <w:rsid w:val="008F28B1"/>
    <w:rsid w:val="00993D83"/>
    <w:rsid w:val="00A22A9D"/>
    <w:rsid w:val="00AA1336"/>
    <w:rsid w:val="00AC7101"/>
    <w:rsid w:val="00BE1BC9"/>
    <w:rsid w:val="00CD2AF7"/>
    <w:rsid w:val="00D34685"/>
    <w:rsid w:val="00DB51BA"/>
    <w:rsid w:val="00E46463"/>
    <w:rsid w:val="04D42623"/>
    <w:rsid w:val="08BE161D"/>
    <w:rsid w:val="0B0F5997"/>
    <w:rsid w:val="0B7F6F88"/>
    <w:rsid w:val="0F602C37"/>
    <w:rsid w:val="11EA45FF"/>
    <w:rsid w:val="157A6B0C"/>
    <w:rsid w:val="16F2357A"/>
    <w:rsid w:val="180B4382"/>
    <w:rsid w:val="18336EEF"/>
    <w:rsid w:val="1A2559C7"/>
    <w:rsid w:val="1B59643B"/>
    <w:rsid w:val="26CB4A48"/>
    <w:rsid w:val="281F1AD8"/>
    <w:rsid w:val="2ACC2AC8"/>
    <w:rsid w:val="2F91431A"/>
    <w:rsid w:val="2F9B44AE"/>
    <w:rsid w:val="349D2C7C"/>
    <w:rsid w:val="36F421F8"/>
    <w:rsid w:val="385C1F3E"/>
    <w:rsid w:val="38935D06"/>
    <w:rsid w:val="3E8B000B"/>
    <w:rsid w:val="400D019B"/>
    <w:rsid w:val="40550D1A"/>
    <w:rsid w:val="44B532B4"/>
    <w:rsid w:val="51A7318C"/>
    <w:rsid w:val="5452780C"/>
    <w:rsid w:val="54C354D9"/>
    <w:rsid w:val="565D14FC"/>
    <w:rsid w:val="56887892"/>
    <w:rsid w:val="5C4171BF"/>
    <w:rsid w:val="69701BAA"/>
    <w:rsid w:val="718754D7"/>
    <w:rsid w:val="74122355"/>
    <w:rsid w:val="741F76C6"/>
    <w:rsid w:val="749702DD"/>
    <w:rsid w:val="755C7C9B"/>
    <w:rsid w:val="76960793"/>
    <w:rsid w:val="77B6480E"/>
    <w:rsid w:val="78AA59FD"/>
    <w:rsid w:val="7C745FD7"/>
    <w:rsid w:val="7CD505F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Strong"/>
    <w:qFormat/>
    <w:uiPriority w:val="0"/>
    <w:rPr>
      <w:b/>
      <w:bCs/>
    </w:rPr>
  </w:style>
  <w:style w:type="character" w:styleId="6">
    <w:name w:val="Hyperlink"/>
    <w:basedOn w:val="4"/>
    <w:qFormat/>
    <w:uiPriority w:val="0"/>
    <w:rPr>
      <w:color w:val="0000FF"/>
      <w:u w:val="single"/>
    </w:rPr>
  </w:style>
  <w:style w:type="table" w:styleId="8">
    <w:name w:val="Table Grid"/>
    <w:basedOn w:val="7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4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4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1248A3F-8C09-4104-81ED-4ABBFE3E934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151</Words>
  <Characters>861</Characters>
  <Lines>7</Lines>
  <Paragraphs>2</Paragraphs>
  <TotalTime>9</TotalTime>
  <ScaleCrop>false</ScaleCrop>
  <LinksUpToDate>false</LinksUpToDate>
  <CharactersWithSpaces>1010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2018-11-29T08:29:00Z</dcterms:created>
  <dc:creator>HP</dc:creator>
  <cp:lastModifiedBy>Administrator</cp:lastModifiedBy>
  <cp:lastPrinted>2018-12-13T07:41:00Z</cp:lastPrinted>
  <dcterms:modified xsi:type="dcterms:W3CDTF">2018-12-13T08:52:49Z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